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31"/>
        <w:tblW w:w="10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9"/>
        <w:gridCol w:w="2391"/>
      </w:tblGrid>
      <w:tr w:rsidR="00536ECF" w14:paraId="65F21E23" w14:textId="77777777">
        <w:trPr>
          <w:cantSplit/>
          <w:trHeight w:hRule="exact" w:val="1159"/>
        </w:trPr>
        <w:tc>
          <w:tcPr>
            <w:tcW w:w="7739" w:type="dxa"/>
          </w:tcPr>
          <w:p w14:paraId="19C54897" w14:textId="77777777" w:rsidR="00536ECF" w:rsidRDefault="00536ECF">
            <w:pPr>
              <w:tabs>
                <w:tab w:val="left" w:pos="531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99553440"/>
          </w:p>
          <w:p w14:paraId="407E8C97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45E7C" w14:textId="77777777" w:rsidR="00536ECF" w:rsidRDefault="001B4A1E">
            <w:pPr>
              <w:tabs>
                <w:tab w:val="left" w:pos="248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391" w:type="dxa"/>
          </w:tcPr>
          <w:p w14:paraId="4109AEE3" w14:textId="77777777" w:rsidR="00536ECF" w:rsidRDefault="001B4A1E">
            <w:pPr>
              <w:pStyle w:val="scfBereich"/>
              <w:spacing w:before="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1" w:name="scf_abs_bereich"/>
            <w:bookmarkEnd w:id="1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Financial Services</w:t>
            </w:r>
          </w:p>
          <w:p w14:paraId="2B870D43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49229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83264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B78D8C" w14:textId="77777777" w:rsidR="00FA5E2C" w:rsidRPr="00FA5E2C" w:rsidRDefault="00FA5E2C">
      <w:pPr>
        <w:pStyle w:val="scfvertrauen"/>
        <w:tabs>
          <w:tab w:val="left" w:pos="550"/>
          <w:tab w:val="left" w:pos="2950"/>
        </w:tabs>
        <w:spacing w:before="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2" w:name="scf_dummy"/>
      <w:bookmarkStart w:id="3" w:name="scf_vertrauen"/>
      <w:bookmarkEnd w:id="2"/>
      <w:bookmarkEnd w:id="3"/>
    </w:p>
    <w:p w14:paraId="4B78C43B" w14:textId="2D3995EF" w:rsidR="0067173F" w:rsidRDefault="00D71899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4" w:name="_Hlk499553517"/>
      <w:r w:rsidRPr="00D71899">
        <w:rPr>
          <w:rFonts w:asciiTheme="minorHAnsi" w:hAnsiTheme="minorHAnsi" w:cstheme="minorHAnsi"/>
          <w:b/>
          <w:sz w:val="28"/>
          <w:szCs w:val="28"/>
        </w:rPr>
        <w:t>Co trzecia firma przemysłowa z sektora MŚP zwiększyła automatyzację</w:t>
      </w:r>
    </w:p>
    <w:bookmarkEnd w:id="0"/>
    <w:bookmarkEnd w:id="4"/>
    <w:p w14:paraId="16ECD60F" w14:textId="63F28B93" w:rsidR="00594641" w:rsidRDefault="004E3D12" w:rsidP="00A82003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 porównaniu z rokiem ubiegłym </w:t>
      </w:r>
      <w:r w:rsidR="004570A3">
        <w:rPr>
          <w:rFonts w:asciiTheme="minorHAnsi" w:hAnsiTheme="minorHAnsi" w:cstheme="minorHAnsi"/>
          <w:b/>
          <w:sz w:val="22"/>
          <w:szCs w:val="22"/>
        </w:rPr>
        <w:t>ponad 32</w:t>
      </w:r>
      <w:r w:rsidR="00D71899">
        <w:rPr>
          <w:rFonts w:asciiTheme="minorHAnsi" w:hAnsiTheme="minorHAnsi" w:cstheme="minorHAnsi"/>
          <w:b/>
          <w:sz w:val="22"/>
          <w:szCs w:val="22"/>
        </w:rPr>
        <w:t xml:space="preserve"> proc.</w:t>
      </w:r>
      <w:r w:rsidR="00371502">
        <w:rPr>
          <w:rFonts w:asciiTheme="minorHAnsi" w:hAnsiTheme="minorHAnsi" w:cstheme="minorHAnsi"/>
          <w:b/>
          <w:sz w:val="22"/>
          <w:szCs w:val="22"/>
        </w:rPr>
        <w:t xml:space="preserve"> m</w:t>
      </w:r>
      <w:r w:rsidR="00F55DD3">
        <w:rPr>
          <w:rFonts w:asciiTheme="minorHAnsi" w:hAnsiTheme="minorHAnsi" w:cstheme="minorHAnsi"/>
          <w:b/>
          <w:sz w:val="22"/>
          <w:szCs w:val="22"/>
        </w:rPr>
        <w:t>ał</w:t>
      </w:r>
      <w:r w:rsidR="004570A3">
        <w:rPr>
          <w:rFonts w:asciiTheme="minorHAnsi" w:hAnsiTheme="minorHAnsi" w:cstheme="minorHAnsi"/>
          <w:b/>
          <w:sz w:val="22"/>
          <w:szCs w:val="22"/>
        </w:rPr>
        <w:t>ych</w:t>
      </w:r>
      <w:r w:rsidR="00F55DD3">
        <w:rPr>
          <w:rFonts w:asciiTheme="minorHAnsi" w:hAnsiTheme="minorHAnsi" w:cstheme="minorHAnsi"/>
          <w:b/>
          <w:sz w:val="22"/>
          <w:szCs w:val="22"/>
        </w:rPr>
        <w:t xml:space="preserve"> i średni</w:t>
      </w:r>
      <w:r w:rsidR="004570A3">
        <w:rPr>
          <w:rFonts w:asciiTheme="minorHAnsi" w:hAnsiTheme="minorHAnsi" w:cstheme="minorHAnsi"/>
          <w:b/>
          <w:sz w:val="22"/>
          <w:szCs w:val="22"/>
        </w:rPr>
        <w:t>ch</w:t>
      </w:r>
      <w:r w:rsidR="00F55DD3">
        <w:rPr>
          <w:rFonts w:asciiTheme="minorHAnsi" w:hAnsiTheme="minorHAnsi" w:cstheme="minorHAnsi"/>
          <w:b/>
          <w:sz w:val="22"/>
          <w:szCs w:val="22"/>
        </w:rPr>
        <w:t xml:space="preserve"> f</w:t>
      </w:r>
      <w:r w:rsidR="00A623E4">
        <w:rPr>
          <w:rFonts w:asciiTheme="minorHAnsi" w:hAnsiTheme="minorHAnsi" w:cstheme="minorHAnsi"/>
          <w:b/>
          <w:sz w:val="22"/>
          <w:szCs w:val="22"/>
        </w:rPr>
        <w:t xml:space="preserve">irm </w:t>
      </w:r>
      <w:r w:rsidR="00F55DD3">
        <w:rPr>
          <w:rFonts w:asciiTheme="minorHAnsi" w:hAnsiTheme="minorHAnsi" w:cstheme="minorHAnsi"/>
          <w:b/>
          <w:sz w:val="22"/>
          <w:szCs w:val="22"/>
        </w:rPr>
        <w:t>przemysłow</w:t>
      </w:r>
      <w:r w:rsidR="004570A3">
        <w:rPr>
          <w:rFonts w:asciiTheme="minorHAnsi" w:hAnsiTheme="minorHAnsi" w:cstheme="minorHAnsi"/>
          <w:b/>
          <w:sz w:val="22"/>
          <w:szCs w:val="22"/>
        </w:rPr>
        <w:t>ych</w:t>
      </w:r>
      <w:r>
        <w:rPr>
          <w:rFonts w:asciiTheme="minorHAnsi" w:hAnsiTheme="minorHAnsi" w:cstheme="minorHAnsi"/>
          <w:b/>
          <w:sz w:val="22"/>
          <w:szCs w:val="22"/>
        </w:rPr>
        <w:t xml:space="preserve"> w Polsce</w:t>
      </w:r>
      <w:r w:rsidR="00594641">
        <w:rPr>
          <w:rFonts w:asciiTheme="minorHAnsi" w:hAnsiTheme="minorHAnsi" w:cstheme="minorHAnsi"/>
          <w:b/>
          <w:sz w:val="22"/>
          <w:szCs w:val="22"/>
        </w:rPr>
        <w:t xml:space="preserve"> odn</w:t>
      </w:r>
      <w:r w:rsidR="00371502">
        <w:rPr>
          <w:rFonts w:asciiTheme="minorHAnsi" w:hAnsiTheme="minorHAnsi" w:cstheme="minorHAnsi"/>
          <w:b/>
          <w:sz w:val="22"/>
          <w:szCs w:val="22"/>
        </w:rPr>
        <w:t>o</w:t>
      </w:r>
      <w:r w:rsidR="00594641">
        <w:rPr>
          <w:rFonts w:asciiTheme="minorHAnsi" w:hAnsiTheme="minorHAnsi" w:cstheme="minorHAnsi"/>
          <w:b/>
          <w:sz w:val="22"/>
          <w:szCs w:val="22"/>
        </w:rPr>
        <w:t>wił</w:t>
      </w:r>
      <w:r w:rsidR="004570A3">
        <w:rPr>
          <w:rFonts w:asciiTheme="minorHAnsi" w:hAnsiTheme="minorHAnsi" w:cstheme="minorHAnsi"/>
          <w:b/>
          <w:sz w:val="22"/>
          <w:szCs w:val="22"/>
        </w:rPr>
        <w:t>o</w:t>
      </w:r>
      <w:bookmarkStart w:id="5" w:name="_GoBack"/>
      <w:bookmarkEnd w:id="5"/>
      <w:r w:rsidR="00594641">
        <w:rPr>
          <w:rFonts w:asciiTheme="minorHAnsi" w:hAnsiTheme="minorHAnsi" w:cstheme="minorHAnsi"/>
          <w:b/>
          <w:sz w:val="22"/>
          <w:szCs w:val="22"/>
        </w:rPr>
        <w:t xml:space="preserve"> swój park maszyn i urządzeń</w:t>
      </w:r>
      <w:r w:rsidR="00D07A87">
        <w:rPr>
          <w:rFonts w:asciiTheme="minorHAnsi" w:hAnsiTheme="minorHAnsi" w:cstheme="minorHAnsi"/>
          <w:b/>
          <w:sz w:val="22"/>
          <w:szCs w:val="22"/>
        </w:rPr>
        <w:t>, a 35,2 proc. zwiększyło automatyzację procesów produkcji</w:t>
      </w:r>
      <w:r w:rsidR="00474D24">
        <w:rPr>
          <w:rFonts w:asciiTheme="minorHAnsi" w:hAnsiTheme="minorHAnsi" w:cstheme="minorHAnsi"/>
          <w:b/>
          <w:sz w:val="22"/>
          <w:szCs w:val="22"/>
        </w:rPr>
        <w:t xml:space="preserve"> – najczęściej wykorzystując do tego środki własne </w:t>
      </w:r>
      <w:r w:rsidR="00C87A3C">
        <w:rPr>
          <w:rFonts w:asciiTheme="minorHAnsi" w:hAnsiTheme="minorHAnsi" w:cstheme="minorHAnsi"/>
          <w:b/>
          <w:sz w:val="22"/>
          <w:szCs w:val="22"/>
        </w:rPr>
        <w:t>oraz</w:t>
      </w:r>
      <w:r w:rsidR="00474D24">
        <w:rPr>
          <w:rFonts w:asciiTheme="minorHAnsi" w:hAnsiTheme="minorHAnsi" w:cstheme="minorHAnsi"/>
          <w:b/>
          <w:sz w:val="22"/>
          <w:szCs w:val="22"/>
        </w:rPr>
        <w:t xml:space="preserve"> leasing</w:t>
      </w:r>
      <w:r w:rsidR="0059464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37965">
        <w:rPr>
          <w:rFonts w:asciiTheme="minorHAnsi" w:hAnsiTheme="minorHAnsi" w:cstheme="minorHAnsi"/>
          <w:b/>
          <w:sz w:val="22"/>
          <w:szCs w:val="22"/>
        </w:rPr>
        <w:t>C</w:t>
      </w:r>
      <w:r w:rsidR="00371502">
        <w:rPr>
          <w:rFonts w:asciiTheme="minorHAnsi" w:hAnsiTheme="minorHAnsi" w:cstheme="minorHAnsi"/>
          <w:b/>
          <w:sz w:val="22"/>
          <w:szCs w:val="22"/>
        </w:rPr>
        <w:t>zęść m</w:t>
      </w:r>
      <w:r w:rsidR="00A623E4">
        <w:rPr>
          <w:rFonts w:asciiTheme="minorHAnsi" w:hAnsiTheme="minorHAnsi" w:cstheme="minorHAnsi"/>
          <w:b/>
          <w:sz w:val="22"/>
          <w:szCs w:val="22"/>
        </w:rPr>
        <w:t>iał</w:t>
      </w:r>
      <w:r w:rsidR="00371502">
        <w:rPr>
          <w:rFonts w:asciiTheme="minorHAnsi" w:hAnsiTheme="minorHAnsi" w:cstheme="minorHAnsi"/>
          <w:b/>
          <w:sz w:val="22"/>
          <w:szCs w:val="22"/>
        </w:rPr>
        <w:t>a</w:t>
      </w:r>
      <w:r w:rsidR="00594641">
        <w:rPr>
          <w:rFonts w:asciiTheme="minorHAnsi" w:hAnsiTheme="minorHAnsi" w:cstheme="minorHAnsi"/>
          <w:b/>
          <w:sz w:val="22"/>
          <w:szCs w:val="22"/>
        </w:rPr>
        <w:t xml:space="preserve"> za sobą</w:t>
      </w:r>
      <w:r w:rsidR="00F55DD3">
        <w:rPr>
          <w:rFonts w:asciiTheme="minorHAnsi" w:hAnsiTheme="minorHAnsi" w:cstheme="minorHAnsi"/>
          <w:b/>
          <w:sz w:val="22"/>
          <w:szCs w:val="22"/>
        </w:rPr>
        <w:t xml:space="preserve"> także</w:t>
      </w:r>
      <w:r w:rsidR="00594641">
        <w:rPr>
          <w:rFonts w:asciiTheme="minorHAnsi" w:hAnsiTheme="minorHAnsi" w:cstheme="minorHAnsi"/>
          <w:b/>
          <w:sz w:val="22"/>
          <w:szCs w:val="22"/>
        </w:rPr>
        <w:t xml:space="preserve"> umiarkowanie dobry rok</w:t>
      </w:r>
      <w:r w:rsidR="00E84941">
        <w:rPr>
          <w:rFonts w:asciiTheme="minorHAnsi" w:hAnsiTheme="minorHAnsi" w:cstheme="minorHAnsi"/>
          <w:b/>
          <w:sz w:val="22"/>
          <w:szCs w:val="22"/>
        </w:rPr>
        <w:t>,</w:t>
      </w:r>
      <w:r w:rsidR="00594641">
        <w:rPr>
          <w:rFonts w:asciiTheme="minorHAnsi" w:hAnsiTheme="minorHAnsi" w:cstheme="minorHAnsi"/>
          <w:b/>
          <w:sz w:val="22"/>
          <w:szCs w:val="22"/>
        </w:rPr>
        <w:t xml:space="preserve"> czemu sprzyjała</w:t>
      </w:r>
      <w:r w:rsidR="00A623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37CE">
        <w:rPr>
          <w:rFonts w:asciiTheme="minorHAnsi" w:hAnsiTheme="minorHAnsi" w:cstheme="minorHAnsi"/>
          <w:b/>
          <w:sz w:val="22"/>
          <w:szCs w:val="22"/>
        </w:rPr>
        <w:t xml:space="preserve">w pewnym zakresie </w:t>
      </w:r>
      <w:r w:rsidR="00A623E4">
        <w:rPr>
          <w:rFonts w:asciiTheme="minorHAnsi" w:hAnsiTheme="minorHAnsi" w:cstheme="minorHAnsi"/>
          <w:b/>
          <w:sz w:val="22"/>
          <w:szCs w:val="22"/>
        </w:rPr>
        <w:t>dywe</w:t>
      </w:r>
      <w:r w:rsidR="000B0BD5">
        <w:rPr>
          <w:rFonts w:asciiTheme="minorHAnsi" w:hAnsiTheme="minorHAnsi" w:cstheme="minorHAnsi"/>
          <w:b/>
          <w:sz w:val="22"/>
          <w:szCs w:val="22"/>
        </w:rPr>
        <w:t>rsy</w:t>
      </w:r>
      <w:r w:rsidR="00594641">
        <w:rPr>
          <w:rFonts w:asciiTheme="minorHAnsi" w:hAnsiTheme="minorHAnsi" w:cstheme="minorHAnsi"/>
          <w:b/>
          <w:sz w:val="22"/>
          <w:szCs w:val="22"/>
        </w:rPr>
        <w:t>fikacja źródeł finansowania</w:t>
      </w:r>
      <w:r w:rsidR="00871394">
        <w:rPr>
          <w:rFonts w:asciiTheme="minorHAnsi" w:hAnsiTheme="minorHAnsi" w:cstheme="minorHAnsi"/>
          <w:b/>
          <w:sz w:val="22"/>
          <w:szCs w:val="22"/>
        </w:rPr>
        <w:t xml:space="preserve"> – wynika z</w:t>
      </w:r>
      <w:r w:rsidR="00C81393">
        <w:rPr>
          <w:rFonts w:asciiTheme="minorHAnsi" w:hAnsiTheme="minorHAnsi" w:cstheme="minorHAnsi"/>
          <w:b/>
          <w:sz w:val="22"/>
          <w:szCs w:val="22"/>
        </w:rPr>
        <w:t> </w:t>
      </w:r>
      <w:r w:rsidR="00871394">
        <w:rPr>
          <w:rFonts w:asciiTheme="minorHAnsi" w:hAnsiTheme="minorHAnsi" w:cstheme="minorHAnsi"/>
          <w:b/>
          <w:sz w:val="22"/>
          <w:szCs w:val="22"/>
        </w:rPr>
        <w:t>badani</w:t>
      </w:r>
      <w:r w:rsidR="00C81393">
        <w:rPr>
          <w:rFonts w:asciiTheme="minorHAnsi" w:hAnsiTheme="minorHAnsi" w:cstheme="minorHAnsi"/>
          <w:b/>
          <w:sz w:val="22"/>
          <w:szCs w:val="22"/>
        </w:rPr>
        <w:t>a</w:t>
      </w:r>
      <w:r w:rsidR="008713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1394">
        <w:rPr>
          <w:rFonts w:asciiTheme="minorHAnsi" w:hAnsiTheme="minorHAnsi" w:cstheme="minorHAnsi"/>
          <w:b/>
          <w:sz w:val="22"/>
          <w:szCs w:val="22"/>
        </w:rPr>
        <w:t>zrealizowanego dla Siemens Financial Services</w:t>
      </w:r>
      <w:r w:rsidR="00594641">
        <w:rPr>
          <w:rFonts w:asciiTheme="minorHAnsi" w:hAnsiTheme="minorHAnsi" w:cstheme="minorHAnsi"/>
          <w:b/>
          <w:sz w:val="22"/>
          <w:szCs w:val="22"/>
        </w:rPr>
        <w:t>.</w:t>
      </w:r>
      <w:r w:rsidR="000733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4641">
        <w:rPr>
          <w:rFonts w:asciiTheme="minorHAnsi" w:hAnsiTheme="minorHAnsi" w:cstheme="minorHAnsi"/>
          <w:b/>
          <w:sz w:val="22"/>
          <w:szCs w:val="22"/>
        </w:rPr>
        <w:t>Nowa rzeczywistość wywołana koronawirusem</w:t>
      </w:r>
      <w:r w:rsidR="006346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77F0">
        <w:rPr>
          <w:rFonts w:asciiTheme="minorHAnsi" w:hAnsiTheme="minorHAnsi" w:cstheme="minorHAnsi"/>
          <w:b/>
          <w:sz w:val="22"/>
          <w:szCs w:val="22"/>
        </w:rPr>
        <w:t>SARS-CoV</w:t>
      </w:r>
      <w:r w:rsidR="00935116">
        <w:rPr>
          <w:rFonts w:asciiTheme="minorHAnsi" w:hAnsiTheme="minorHAnsi" w:cstheme="minorHAnsi"/>
          <w:b/>
          <w:sz w:val="22"/>
          <w:szCs w:val="22"/>
        </w:rPr>
        <w:t>-</w:t>
      </w:r>
      <w:r w:rsidR="00EC77F0">
        <w:rPr>
          <w:rFonts w:asciiTheme="minorHAnsi" w:hAnsiTheme="minorHAnsi" w:cstheme="minorHAnsi"/>
          <w:b/>
          <w:sz w:val="22"/>
          <w:szCs w:val="22"/>
        </w:rPr>
        <w:t>2</w:t>
      </w:r>
      <w:r w:rsidR="006346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4641">
        <w:rPr>
          <w:rFonts w:asciiTheme="minorHAnsi" w:hAnsiTheme="minorHAnsi" w:cstheme="minorHAnsi"/>
          <w:b/>
          <w:sz w:val="22"/>
          <w:szCs w:val="22"/>
        </w:rPr>
        <w:t>i</w:t>
      </w:r>
      <w:r w:rsidR="006346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4641">
        <w:rPr>
          <w:rFonts w:asciiTheme="minorHAnsi" w:hAnsiTheme="minorHAnsi" w:cstheme="minorHAnsi"/>
          <w:b/>
          <w:sz w:val="22"/>
          <w:szCs w:val="22"/>
        </w:rPr>
        <w:t>konieczność zachowa</w:t>
      </w:r>
      <w:r w:rsidR="00F55DD3">
        <w:rPr>
          <w:rFonts w:asciiTheme="minorHAnsi" w:hAnsiTheme="minorHAnsi" w:cstheme="minorHAnsi"/>
          <w:b/>
          <w:sz w:val="22"/>
          <w:szCs w:val="22"/>
        </w:rPr>
        <w:t>nia rygor</w:t>
      </w:r>
      <w:r w:rsidR="00E84941">
        <w:rPr>
          <w:rFonts w:asciiTheme="minorHAnsi" w:hAnsiTheme="minorHAnsi" w:cstheme="minorHAnsi"/>
          <w:b/>
          <w:sz w:val="22"/>
          <w:szCs w:val="22"/>
        </w:rPr>
        <w:t>u</w:t>
      </w:r>
      <w:r w:rsidR="00F55DD3">
        <w:rPr>
          <w:rFonts w:asciiTheme="minorHAnsi" w:hAnsiTheme="minorHAnsi" w:cstheme="minorHAnsi"/>
          <w:b/>
          <w:sz w:val="22"/>
          <w:szCs w:val="22"/>
        </w:rPr>
        <w:t xml:space="preserve"> sanitarnego spowoduje</w:t>
      </w:r>
      <w:r w:rsidR="00EC77F0">
        <w:rPr>
          <w:rFonts w:asciiTheme="minorHAnsi" w:hAnsiTheme="minorHAnsi" w:cstheme="minorHAnsi"/>
          <w:b/>
          <w:sz w:val="22"/>
          <w:szCs w:val="22"/>
        </w:rPr>
        <w:t xml:space="preserve"> prawdopodobnie</w:t>
      </w:r>
      <w:r w:rsidR="00594641">
        <w:rPr>
          <w:rFonts w:asciiTheme="minorHAnsi" w:hAnsiTheme="minorHAnsi" w:cstheme="minorHAnsi"/>
          <w:b/>
          <w:sz w:val="22"/>
          <w:szCs w:val="22"/>
        </w:rPr>
        <w:t xml:space="preserve"> jeszcze większą automatyzację, di</w:t>
      </w:r>
      <w:r w:rsidR="00EC77F0">
        <w:rPr>
          <w:rFonts w:asciiTheme="minorHAnsi" w:hAnsiTheme="minorHAnsi" w:cstheme="minorHAnsi"/>
          <w:b/>
          <w:sz w:val="22"/>
          <w:szCs w:val="22"/>
        </w:rPr>
        <w:t>gitalizacj</w:t>
      </w:r>
      <w:r w:rsidR="00F55DD3">
        <w:rPr>
          <w:rFonts w:asciiTheme="minorHAnsi" w:hAnsiTheme="minorHAnsi" w:cstheme="minorHAnsi"/>
          <w:b/>
          <w:sz w:val="22"/>
          <w:szCs w:val="22"/>
        </w:rPr>
        <w:t>ę oraz zdalną kontrolę w</w:t>
      </w:r>
      <w:r w:rsidR="00547BE0">
        <w:rPr>
          <w:rFonts w:asciiTheme="minorHAnsi" w:hAnsiTheme="minorHAnsi" w:cstheme="minorHAnsi"/>
          <w:b/>
          <w:sz w:val="22"/>
          <w:szCs w:val="22"/>
        </w:rPr>
        <w:t> </w:t>
      </w:r>
      <w:r w:rsidR="00F55DD3">
        <w:rPr>
          <w:rFonts w:asciiTheme="minorHAnsi" w:hAnsiTheme="minorHAnsi" w:cstheme="minorHAnsi"/>
          <w:b/>
          <w:sz w:val="22"/>
          <w:szCs w:val="22"/>
        </w:rPr>
        <w:t>przedsiębiorstwach</w:t>
      </w:r>
      <w:r w:rsidR="00EC77F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9464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93F32B4" w14:textId="3DE7F72D" w:rsidR="002F1FDE" w:rsidRDefault="000B08F7" w:rsidP="003331E1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Kryzys wywołany epidemią COVID-19 wstrząsnął prawie wszystkimi obszarami gospodarki. Część firm znacząco musiała zmniejszyć zakres działalności</w:t>
      </w:r>
      <w:r w:rsidR="00A2331E">
        <w:rPr>
          <w:rFonts w:asciiTheme="minorHAnsi" w:hAnsiTheme="minorHAnsi" w:cstheme="minorHAnsi"/>
          <w:sz w:val="22"/>
          <w:szCs w:val="22"/>
        </w:rPr>
        <w:t xml:space="preserve"> lub czasowo </w:t>
      </w:r>
      <w:r w:rsidR="00871394">
        <w:rPr>
          <w:rFonts w:asciiTheme="minorHAnsi" w:hAnsiTheme="minorHAnsi" w:cstheme="minorHAnsi"/>
          <w:sz w:val="22"/>
          <w:szCs w:val="22"/>
        </w:rPr>
        <w:t>wstrzymać</w:t>
      </w:r>
      <w:r w:rsidR="00AB6E8B">
        <w:rPr>
          <w:rFonts w:asciiTheme="minorHAnsi" w:hAnsiTheme="minorHAnsi" w:cstheme="minorHAnsi"/>
          <w:sz w:val="22"/>
          <w:szCs w:val="22"/>
        </w:rPr>
        <w:t xml:space="preserve"> ją całkowicie</w:t>
      </w:r>
      <w:r>
        <w:rPr>
          <w:rFonts w:asciiTheme="minorHAnsi" w:hAnsiTheme="minorHAnsi" w:cstheme="minorHAnsi"/>
          <w:sz w:val="22"/>
          <w:szCs w:val="22"/>
        </w:rPr>
        <w:t>, inne borykają się</w:t>
      </w:r>
      <w:r w:rsidR="002F1FDE">
        <w:rPr>
          <w:rFonts w:asciiTheme="minorHAnsi" w:hAnsiTheme="minorHAnsi" w:cstheme="minorHAnsi"/>
          <w:sz w:val="22"/>
          <w:szCs w:val="22"/>
        </w:rPr>
        <w:t xml:space="preserve"> z kolei</w:t>
      </w:r>
      <w:r>
        <w:rPr>
          <w:rFonts w:asciiTheme="minorHAnsi" w:hAnsiTheme="minorHAnsi" w:cstheme="minorHAnsi"/>
          <w:sz w:val="22"/>
          <w:szCs w:val="22"/>
        </w:rPr>
        <w:t xml:space="preserve"> ze spad</w:t>
      </w:r>
      <w:r w:rsidR="00BC7137">
        <w:rPr>
          <w:rFonts w:asciiTheme="minorHAnsi" w:hAnsiTheme="minorHAnsi" w:cstheme="minorHAnsi"/>
          <w:sz w:val="22"/>
          <w:szCs w:val="22"/>
        </w:rPr>
        <w:t>kiem popyt</w:t>
      </w:r>
      <w:r w:rsidR="00E84941">
        <w:rPr>
          <w:rFonts w:asciiTheme="minorHAnsi" w:hAnsiTheme="minorHAnsi" w:cstheme="minorHAnsi"/>
          <w:sz w:val="22"/>
          <w:szCs w:val="22"/>
        </w:rPr>
        <w:t>u</w:t>
      </w:r>
      <w:r w:rsidR="00BC7137">
        <w:rPr>
          <w:rFonts w:asciiTheme="minorHAnsi" w:hAnsiTheme="minorHAnsi" w:cstheme="minorHAnsi"/>
          <w:sz w:val="22"/>
          <w:szCs w:val="22"/>
        </w:rPr>
        <w:t xml:space="preserve"> spowodowanego</w:t>
      </w:r>
      <w:r w:rsidR="00AB6E8B">
        <w:rPr>
          <w:rFonts w:asciiTheme="minorHAnsi" w:hAnsiTheme="minorHAnsi" w:cstheme="minorHAnsi"/>
          <w:sz w:val="22"/>
          <w:szCs w:val="22"/>
        </w:rPr>
        <w:t xml:space="preserve"> mniejszą</w:t>
      </w:r>
      <w:r>
        <w:rPr>
          <w:rFonts w:asciiTheme="minorHAnsi" w:hAnsiTheme="minorHAnsi" w:cstheme="minorHAnsi"/>
          <w:sz w:val="22"/>
          <w:szCs w:val="22"/>
        </w:rPr>
        <w:t xml:space="preserve"> konsumpcją. </w:t>
      </w:r>
      <w:r w:rsidR="00BC7137">
        <w:rPr>
          <w:rFonts w:asciiTheme="minorHAnsi" w:hAnsiTheme="minorHAnsi" w:cstheme="minorHAnsi"/>
          <w:sz w:val="22"/>
          <w:szCs w:val="22"/>
        </w:rPr>
        <w:t>Małymi krokami g</w:t>
      </w:r>
      <w:r w:rsidR="00AB6E8B">
        <w:rPr>
          <w:rFonts w:asciiTheme="minorHAnsi" w:hAnsiTheme="minorHAnsi" w:cstheme="minorHAnsi"/>
          <w:sz w:val="22"/>
          <w:szCs w:val="22"/>
        </w:rPr>
        <w:t xml:space="preserve">ospodarka zaczyna się odmrażać, jednak dzieje się to z zachowaniem rygoru sanitarnego i </w:t>
      </w:r>
      <w:r w:rsidR="00BC7137">
        <w:rPr>
          <w:rFonts w:asciiTheme="minorHAnsi" w:hAnsiTheme="minorHAnsi" w:cstheme="minorHAnsi"/>
          <w:sz w:val="22"/>
          <w:szCs w:val="22"/>
        </w:rPr>
        <w:t>dystans</w:t>
      </w:r>
      <w:r w:rsidR="00935116">
        <w:rPr>
          <w:rFonts w:asciiTheme="minorHAnsi" w:hAnsiTheme="minorHAnsi" w:cstheme="minorHAnsi"/>
          <w:sz w:val="22"/>
          <w:szCs w:val="22"/>
        </w:rPr>
        <w:t>u</w:t>
      </w:r>
      <w:r w:rsidR="00BC7137">
        <w:rPr>
          <w:rFonts w:asciiTheme="minorHAnsi" w:hAnsiTheme="minorHAnsi" w:cstheme="minorHAnsi"/>
          <w:sz w:val="22"/>
          <w:szCs w:val="22"/>
        </w:rPr>
        <w:t xml:space="preserve"> społeczn</w:t>
      </w:r>
      <w:r w:rsidR="00935116">
        <w:rPr>
          <w:rFonts w:asciiTheme="minorHAnsi" w:hAnsiTheme="minorHAnsi" w:cstheme="minorHAnsi"/>
          <w:sz w:val="22"/>
          <w:szCs w:val="22"/>
        </w:rPr>
        <w:t>ego</w:t>
      </w:r>
      <w:r w:rsidR="00BC713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847C52" w14:textId="11301F13" w:rsidR="002F1FDE" w:rsidRPr="003331E1" w:rsidRDefault="002F1FDE" w:rsidP="003331E1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31E1">
        <w:rPr>
          <w:rFonts w:asciiTheme="minorHAnsi" w:hAnsiTheme="minorHAnsi" w:cstheme="minorHAnsi"/>
          <w:b/>
          <w:sz w:val="22"/>
          <w:szCs w:val="22"/>
        </w:rPr>
        <w:t xml:space="preserve">Większa automatyzacja </w:t>
      </w:r>
      <w:r w:rsidR="000B00AF" w:rsidRPr="003331E1">
        <w:rPr>
          <w:rFonts w:asciiTheme="minorHAnsi" w:hAnsiTheme="minorHAnsi" w:cstheme="minorHAnsi"/>
          <w:b/>
          <w:sz w:val="22"/>
          <w:szCs w:val="22"/>
        </w:rPr>
        <w:t xml:space="preserve">pozwoli zachować ciągłość produkcji </w:t>
      </w:r>
    </w:p>
    <w:p w14:paraId="6486008D" w14:textId="2D1233CB" w:rsidR="005923C6" w:rsidRPr="00871394" w:rsidRDefault="000B00AF" w:rsidP="000B00AF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331E1">
        <w:rPr>
          <w:rFonts w:asciiTheme="minorHAnsi" w:hAnsiTheme="minorHAnsi" w:cstheme="minorHAnsi"/>
          <w:i/>
          <w:sz w:val="22"/>
          <w:szCs w:val="22"/>
        </w:rPr>
        <w:t xml:space="preserve">- </w:t>
      </w:r>
      <w:r w:rsidR="004071D5">
        <w:rPr>
          <w:rFonts w:asciiTheme="minorHAnsi" w:hAnsiTheme="minorHAnsi" w:cstheme="minorHAnsi"/>
          <w:i/>
          <w:sz w:val="22"/>
          <w:szCs w:val="22"/>
        </w:rPr>
        <w:t>F</w:t>
      </w:r>
      <w:r w:rsidR="00A2331E">
        <w:rPr>
          <w:rFonts w:asciiTheme="minorHAnsi" w:hAnsiTheme="minorHAnsi" w:cstheme="minorHAnsi"/>
          <w:i/>
          <w:sz w:val="22"/>
          <w:szCs w:val="22"/>
        </w:rPr>
        <w:t>irm</w:t>
      </w:r>
      <w:r w:rsidR="004071D5">
        <w:rPr>
          <w:rFonts w:asciiTheme="minorHAnsi" w:hAnsiTheme="minorHAnsi" w:cstheme="minorHAnsi"/>
          <w:i/>
          <w:sz w:val="22"/>
          <w:szCs w:val="22"/>
        </w:rPr>
        <w:t>y</w:t>
      </w:r>
      <w:r w:rsidR="00A2331E">
        <w:rPr>
          <w:rFonts w:asciiTheme="minorHAnsi" w:hAnsiTheme="minorHAnsi" w:cstheme="minorHAnsi"/>
          <w:i/>
          <w:sz w:val="22"/>
          <w:szCs w:val="22"/>
        </w:rPr>
        <w:t xml:space="preserve"> przemysłow</w:t>
      </w:r>
      <w:r w:rsidR="00E84941">
        <w:rPr>
          <w:rFonts w:asciiTheme="minorHAnsi" w:hAnsiTheme="minorHAnsi" w:cstheme="minorHAnsi"/>
          <w:i/>
          <w:sz w:val="22"/>
          <w:szCs w:val="22"/>
        </w:rPr>
        <w:t>e</w:t>
      </w:r>
      <w:r>
        <w:rPr>
          <w:rFonts w:asciiTheme="minorHAnsi" w:hAnsiTheme="minorHAnsi" w:cstheme="minorHAnsi"/>
          <w:i/>
          <w:sz w:val="22"/>
          <w:szCs w:val="22"/>
        </w:rPr>
        <w:t xml:space="preserve"> z sektora MŚP </w:t>
      </w:r>
      <w:r w:rsidR="00A2331E">
        <w:rPr>
          <w:rFonts w:asciiTheme="minorHAnsi" w:hAnsiTheme="minorHAnsi" w:cstheme="minorHAnsi"/>
          <w:i/>
          <w:sz w:val="22"/>
          <w:szCs w:val="22"/>
        </w:rPr>
        <w:t>miał</w:t>
      </w:r>
      <w:r w:rsidR="00E84941">
        <w:rPr>
          <w:rFonts w:asciiTheme="minorHAnsi" w:hAnsiTheme="minorHAnsi" w:cstheme="minorHAnsi"/>
          <w:i/>
          <w:sz w:val="22"/>
          <w:szCs w:val="22"/>
        </w:rPr>
        <w:t>y</w:t>
      </w:r>
      <w:r w:rsidR="00A2331E">
        <w:rPr>
          <w:rFonts w:asciiTheme="minorHAnsi" w:hAnsiTheme="minorHAnsi" w:cstheme="minorHAnsi"/>
          <w:i/>
          <w:sz w:val="22"/>
          <w:szCs w:val="22"/>
        </w:rPr>
        <w:t xml:space="preserve"> za sobą umiarkowanie dobry rok, co </w:t>
      </w:r>
      <w:r w:rsidR="00A2331E" w:rsidRPr="009B6BDB">
        <w:rPr>
          <w:rFonts w:asciiTheme="minorHAnsi" w:hAnsiTheme="minorHAnsi" w:cstheme="minorHAnsi"/>
          <w:i/>
          <w:sz w:val="22"/>
          <w:szCs w:val="22"/>
        </w:rPr>
        <w:t>w połączeniu z</w:t>
      </w:r>
      <w:r w:rsidR="009B6BDB" w:rsidRPr="009B6BDB">
        <w:rPr>
          <w:rFonts w:asciiTheme="minorHAnsi" w:hAnsiTheme="minorHAnsi" w:cstheme="minorHAnsi"/>
          <w:i/>
          <w:sz w:val="22"/>
          <w:szCs w:val="22"/>
        </w:rPr>
        <w:t xml:space="preserve"> programami wsparcia rządowego</w:t>
      </w:r>
      <w:r w:rsidR="00E84941">
        <w:rPr>
          <w:rFonts w:asciiTheme="minorHAnsi" w:hAnsiTheme="minorHAnsi" w:cstheme="minorHAnsi"/>
          <w:i/>
          <w:sz w:val="22"/>
          <w:szCs w:val="22"/>
        </w:rPr>
        <w:t>,</w:t>
      </w:r>
      <w:r w:rsidR="00306D5E">
        <w:rPr>
          <w:rFonts w:asciiTheme="minorHAnsi" w:hAnsiTheme="minorHAnsi" w:cstheme="minorHAnsi"/>
          <w:i/>
          <w:sz w:val="22"/>
          <w:szCs w:val="22"/>
        </w:rPr>
        <w:t xml:space="preserve"> ułatwiło</w:t>
      </w:r>
      <w:r w:rsidR="00A2331E">
        <w:rPr>
          <w:rFonts w:asciiTheme="minorHAnsi" w:hAnsiTheme="minorHAnsi" w:cstheme="minorHAnsi"/>
          <w:i/>
          <w:sz w:val="22"/>
          <w:szCs w:val="22"/>
        </w:rPr>
        <w:t xml:space="preserve"> przetrwanie zamrożenia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071D5">
        <w:rPr>
          <w:rFonts w:asciiTheme="minorHAnsi" w:hAnsiTheme="minorHAnsi" w:cstheme="minorHAnsi"/>
          <w:i/>
          <w:sz w:val="22"/>
          <w:szCs w:val="22"/>
        </w:rPr>
        <w:t>gospodarki i pierwszy etap walki</w:t>
      </w:r>
      <w:r>
        <w:rPr>
          <w:rFonts w:asciiTheme="minorHAnsi" w:hAnsiTheme="minorHAnsi" w:cstheme="minorHAnsi"/>
          <w:i/>
          <w:sz w:val="22"/>
          <w:szCs w:val="22"/>
        </w:rPr>
        <w:t xml:space="preserve"> z epidemią. Teraz </w:t>
      </w:r>
      <w:r w:rsidR="00A2331E">
        <w:rPr>
          <w:rFonts w:asciiTheme="minorHAnsi" w:hAnsiTheme="minorHAnsi" w:cstheme="minorHAnsi"/>
          <w:i/>
          <w:sz w:val="22"/>
          <w:szCs w:val="22"/>
        </w:rPr>
        <w:t xml:space="preserve">jednak </w:t>
      </w:r>
      <w:r>
        <w:rPr>
          <w:rFonts w:asciiTheme="minorHAnsi" w:hAnsiTheme="minorHAnsi" w:cstheme="minorHAnsi"/>
          <w:i/>
          <w:sz w:val="22"/>
          <w:szCs w:val="22"/>
        </w:rPr>
        <w:t xml:space="preserve">przedsiębiorcy muszą się </w:t>
      </w:r>
      <w:r w:rsidR="00E84941">
        <w:rPr>
          <w:rFonts w:asciiTheme="minorHAnsi" w:hAnsiTheme="minorHAnsi" w:cstheme="minorHAnsi"/>
          <w:i/>
          <w:sz w:val="22"/>
          <w:szCs w:val="22"/>
        </w:rPr>
        <w:t xml:space="preserve">przystosować </w:t>
      </w:r>
      <w:r>
        <w:rPr>
          <w:rFonts w:asciiTheme="minorHAnsi" w:hAnsiTheme="minorHAnsi" w:cstheme="minorHAnsi"/>
          <w:i/>
          <w:sz w:val="22"/>
          <w:szCs w:val="22"/>
        </w:rPr>
        <w:t>do</w:t>
      </w:r>
      <w:r w:rsidR="00F107CD">
        <w:rPr>
          <w:rFonts w:asciiTheme="minorHAnsi" w:hAnsiTheme="minorHAnsi" w:cstheme="minorHAnsi"/>
          <w:i/>
          <w:sz w:val="22"/>
          <w:szCs w:val="22"/>
        </w:rPr>
        <w:t xml:space="preserve"> nowyc</w:t>
      </w:r>
      <w:r w:rsidR="004071D5">
        <w:rPr>
          <w:rFonts w:asciiTheme="minorHAnsi" w:hAnsiTheme="minorHAnsi" w:cstheme="minorHAnsi"/>
          <w:i/>
          <w:sz w:val="22"/>
          <w:szCs w:val="22"/>
        </w:rPr>
        <w:t>h warunków funkcjonowania. Niektórzy już to zrobili</w:t>
      </w:r>
      <w:r w:rsidR="00F107CD">
        <w:rPr>
          <w:rFonts w:asciiTheme="minorHAnsi" w:hAnsiTheme="minorHAnsi" w:cstheme="minorHAnsi"/>
          <w:i/>
          <w:sz w:val="22"/>
          <w:szCs w:val="22"/>
        </w:rPr>
        <w:t xml:space="preserve"> zmieniając, chociaż czasowo, profil działalności w stronę produkcji najpotrzebniejszych obecnie rzeczy, jak</w:t>
      </w:r>
      <w:r w:rsidR="001A466A">
        <w:rPr>
          <w:rFonts w:asciiTheme="minorHAnsi" w:hAnsiTheme="minorHAnsi" w:cstheme="minorHAnsi"/>
          <w:i/>
          <w:sz w:val="22"/>
          <w:szCs w:val="22"/>
        </w:rPr>
        <w:t xml:space="preserve"> rękawiczki</w:t>
      </w:r>
      <w:r w:rsidR="00F107CD">
        <w:rPr>
          <w:rFonts w:asciiTheme="minorHAnsi" w:hAnsiTheme="minorHAnsi" w:cstheme="minorHAnsi"/>
          <w:i/>
          <w:sz w:val="22"/>
          <w:szCs w:val="22"/>
        </w:rPr>
        <w:t xml:space="preserve"> czy żele dezynfekcyjne </w:t>
      </w:r>
      <w:r w:rsidR="00871394">
        <w:rPr>
          <w:rFonts w:asciiTheme="minorHAnsi" w:hAnsiTheme="minorHAnsi" w:cstheme="minorHAnsi"/>
          <w:i/>
          <w:sz w:val="22"/>
          <w:szCs w:val="22"/>
        </w:rPr>
        <w:t xml:space="preserve">– </w:t>
      </w:r>
      <w:r w:rsidR="00871394" w:rsidRPr="006805FC">
        <w:rPr>
          <w:rFonts w:asciiTheme="minorHAnsi" w:hAnsiTheme="minorHAnsi" w:cstheme="minorHAnsi"/>
          <w:sz w:val="22"/>
          <w:szCs w:val="22"/>
        </w:rPr>
        <w:t xml:space="preserve">mówi </w:t>
      </w:r>
      <w:r w:rsidR="00871394" w:rsidRPr="00FE3C61">
        <w:rPr>
          <w:rFonts w:asciiTheme="minorHAnsi" w:hAnsiTheme="minorHAnsi" w:cstheme="minorHAnsi"/>
          <w:b/>
          <w:bCs/>
          <w:sz w:val="22"/>
          <w:szCs w:val="22"/>
        </w:rPr>
        <w:t>Tomasz Kukulski</w:t>
      </w:r>
      <w:r w:rsidR="00871394" w:rsidRPr="00990790">
        <w:rPr>
          <w:rFonts w:asciiTheme="minorHAnsi" w:hAnsiTheme="minorHAnsi" w:cstheme="minorHAnsi"/>
          <w:sz w:val="22"/>
          <w:szCs w:val="22"/>
        </w:rPr>
        <w:t>, Prezes Zarządu Siem</w:t>
      </w:r>
      <w:r w:rsidR="00871394">
        <w:rPr>
          <w:rFonts w:asciiTheme="minorHAnsi" w:hAnsiTheme="minorHAnsi" w:cstheme="minorHAnsi"/>
          <w:sz w:val="22"/>
          <w:szCs w:val="22"/>
        </w:rPr>
        <w:t>ens Financial Services w</w:t>
      </w:r>
      <w:r w:rsidR="00547BE0">
        <w:rPr>
          <w:rFonts w:asciiTheme="minorHAnsi" w:hAnsiTheme="minorHAnsi" w:cstheme="minorHAnsi"/>
          <w:sz w:val="22"/>
          <w:szCs w:val="22"/>
        </w:rPr>
        <w:t> </w:t>
      </w:r>
      <w:r w:rsidR="00871394">
        <w:rPr>
          <w:rFonts w:asciiTheme="minorHAnsi" w:hAnsiTheme="minorHAnsi" w:cstheme="minorHAnsi"/>
          <w:sz w:val="22"/>
          <w:szCs w:val="22"/>
        </w:rPr>
        <w:t>Polsce</w:t>
      </w:r>
      <w:r w:rsidR="00871394" w:rsidRPr="006805FC">
        <w:rPr>
          <w:rFonts w:asciiTheme="minorHAnsi" w:hAnsiTheme="minorHAnsi" w:cstheme="minorHAnsi"/>
          <w:sz w:val="22"/>
          <w:szCs w:val="22"/>
        </w:rPr>
        <w:t>.</w:t>
      </w:r>
      <w:r w:rsidR="00871394">
        <w:rPr>
          <w:rFonts w:asciiTheme="minorHAnsi" w:hAnsiTheme="minorHAnsi" w:cstheme="minorHAnsi"/>
          <w:sz w:val="22"/>
          <w:szCs w:val="22"/>
        </w:rPr>
        <w:t xml:space="preserve"> – </w:t>
      </w:r>
      <w:r w:rsidR="004071D5">
        <w:rPr>
          <w:rFonts w:asciiTheme="minorHAnsi" w:hAnsiTheme="minorHAnsi" w:cstheme="minorHAnsi"/>
          <w:i/>
          <w:sz w:val="22"/>
          <w:szCs w:val="22"/>
        </w:rPr>
        <w:t>Z</w:t>
      </w:r>
      <w:r w:rsidR="0087139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071D5">
        <w:rPr>
          <w:rFonts w:asciiTheme="minorHAnsi" w:hAnsiTheme="minorHAnsi" w:cstheme="minorHAnsi"/>
          <w:i/>
          <w:sz w:val="22"/>
          <w:szCs w:val="22"/>
        </w:rPr>
        <w:t>kolei w</w:t>
      </w:r>
      <w:r w:rsidR="004715A1">
        <w:rPr>
          <w:rFonts w:asciiTheme="minorHAnsi" w:hAnsiTheme="minorHAnsi" w:cstheme="minorHAnsi"/>
          <w:i/>
          <w:sz w:val="22"/>
          <w:szCs w:val="22"/>
        </w:rPr>
        <w:t>iększość musi</w:t>
      </w:r>
      <w:r w:rsidR="003334B1">
        <w:rPr>
          <w:rFonts w:asciiTheme="minorHAnsi" w:hAnsiTheme="minorHAnsi" w:cstheme="minorHAnsi"/>
          <w:i/>
          <w:sz w:val="22"/>
          <w:szCs w:val="22"/>
        </w:rPr>
        <w:t xml:space="preserve"> zaimplementować rozwiązania, które ułatwią funkcjonowanie w</w:t>
      </w:r>
      <w:r w:rsidR="00871394">
        <w:rPr>
          <w:rFonts w:asciiTheme="minorHAnsi" w:hAnsiTheme="minorHAnsi" w:cstheme="minorHAnsi"/>
          <w:i/>
          <w:sz w:val="22"/>
          <w:szCs w:val="22"/>
        </w:rPr>
        <w:t> </w:t>
      </w:r>
      <w:r w:rsidR="003334B1">
        <w:rPr>
          <w:rFonts w:asciiTheme="minorHAnsi" w:hAnsiTheme="minorHAnsi" w:cstheme="minorHAnsi"/>
          <w:i/>
          <w:sz w:val="22"/>
          <w:szCs w:val="22"/>
        </w:rPr>
        <w:t>rygorze sanitarnym.</w:t>
      </w:r>
      <w:r w:rsidR="00A2331E">
        <w:rPr>
          <w:rFonts w:asciiTheme="minorHAnsi" w:hAnsiTheme="minorHAnsi" w:cstheme="minorHAnsi"/>
          <w:i/>
          <w:sz w:val="22"/>
          <w:szCs w:val="22"/>
        </w:rPr>
        <w:t xml:space="preserve"> W konsekwencji może to jeszcze bardziej zwiększyć znaczenie automatyzacji</w:t>
      </w:r>
      <w:r w:rsidR="003334B1">
        <w:rPr>
          <w:rFonts w:asciiTheme="minorHAnsi" w:hAnsiTheme="minorHAnsi" w:cstheme="minorHAnsi"/>
          <w:i/>
          <w:sz w:val="22"/>
          <w:szCs w:val="22"/>
        </w:rPr>
        <w:t xml:space="preserve"> procesów produkcji, której poziom w porównaniu do </w:t>
      </w:r>
      <w:r w:rsidR="00EA72A3">
        <w:rPr>
          <w:rFonts w:asciiTheme="minorHAnsi" w:hAnsiTheme="minorHAnsi" w:cstheme="minorHAnsi"/>
          <w:i/>
          <w:sz w:val="22"/>
          <w:szCs w:val="22"/>
        </w:rPr>
        <w:t xml:space="preserve">ubiegłego </w:t>
      </w:r>
      <w:r w:rsidR="003334B1">
        <w:rPr>
          <w:rFonts w:asciiTheme="minorHAnsi" w:hAnsiTheme="minorHAnsi" w:cstheme="minorHAnsi"/>
          <w:i/>
          <w:sz w:val="22"/>
          <w:szCs w:val="22"/>
        </w:rPr>
        <w:t>roku zwiększyła co trzecia firma</w:t>
      </w:r>
      <w:r w:rsidR="004715A1">
        <w:rPr>
          <w:rFonts w:asciiTheme="minorHAnsi" w:hAnsiTheme="minorHAnsi" w:cstheme="minorHAnsi"/>
          <w:i/>
          <w:sz w:val="22"/>
          <w:szCs w:val="22"/>
        </w:rPr>
        <w:t>,</w:t>
      </w:r>
      <w:r w:rsidR="00E84941">
        <w:rPr>
          <w:rFonts w:asciiTheme="minorHAnsi" w:hAnsiTheme="minorHAnsi" w:cstheme="minorHAnsi"/>
          <w:i/>
          <w:sz w:val="22"/>
          <w:szCs w:val="22"/>
        </w:rPr>
        <w:t xml:space="preserve"> a</w:t>
      </w:r>
      <w:r w:rsidR="004715A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35116">
        <w:rPr>
          <w:rFonts w:asciiTheme="minorHAnsi" w:hAnsiTheme="minorHAnsi" w:cstheme="minorHAnsi"/>
          <w:i/>
          <w:sz w:val="22"/>
          <w:szCs w:val="22"/>
        </w:rPr>
        <w:t xml:space="preserve">jeszcze przed epidemią </w:t>
      </w:r>
      <w:r w:rsidR="004715A1">
        <w:rPr>
          <w:rFonts w:asciiTheme="minorHAnsi" w:hAnsiTheme="minorHAnsi" w:cstheme="minorHAnsi"/>
          <w:i/>
          <w:sz w:val="22"/>
          <w:szCs w:val="22"/>
        </w:rPr>
        <w:t>w</w:t>
      </w:r>
      <w:r w:rsidR="00547BE0">
        <w:rPr>
          <w:rFonts w:asciiTheme="minorHAnsi" w:hAnsiTheme="minorHAnsi" w:cstheme="minorHAnsi"/>
          <w:i/>
          <w:sz w:val="22"/>
          <w:szCs w:val="22"/>
        </w:rPr>
        <w:t> </w:t>
      </w:r>
      <w:r w:rsidR="004715A1">
        <w:rPr>
          <w:rFonts w:asciiTheme="minorHAnsi" w:hAnsiTheme="minorHAnsi" w:cstheme="minorHAnsi"/>
          <w:i/>
          <w:sz w:val="22"/>
          <w:szCs w:val="22"/>
        </w:rPr>
        <w:t>najbliższym roku planowała</w:t>
      </w:r>
      <w:r w:rsidR="007B5F4A">
        <w:rPr>
          <w:rFonts w:asciiTheme="minorHAnsi" w:hAnsiTheme="minorHAnsi" w:cstheme="minorHAnsi"/>
          <w:i/>
          <w:sz w:val="22"/>
          <w:szCs w:val="22"/>
        </w:rPr>
        <w:t xml:space="preserve"> prawie</w:t>
      </w:r>
      <w:r w:rsidR="004715A1">
        <w:rPr>
          <w:rFonts w:asciiTheme="minorHAnsi" w:hAnsiTheme="minorHAnsi" w:cstheme="minorHAnsi"/>
          <w:i/>
          <w:sz w:val="22"/>
          <w:szCs w:val="22"/>
        </w:rPr>
        <w:t xml:space="preserve"> co druga</w:t>
      </w:r>
      <w:r w:rsidR="00871394">
        <w:rPr>
          <w:rFonts w:asciiTheme="minorHAnsi" w:hAnsiTheme="minorHAnsi" w:cstheme="minorHAnsi"/>
          <w:i/>
          <w:sz w:val="22"/>
          <w:szCs w:val="22"/>
        </w:rPr>
        <w:t>. Wymagać to będzie także elastycznych form finansowania</w:t>
      </w:r>
      <w:r w:rsidR="003334B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71394">
        <w:rPr>
          <w:rFonts w:asciiTheme="minorHAnsi" w:hAnsiTheme="minorHAnsi" w:cstheme="minorHAnsi"/>
          <w:iCs/>
          <w:sz w:val="22"/>
          <w:szCs w:val="22"/>
        </w:rPr>
        <w:t>– dodaje.</w:t>
      </w:r>
    </w:p>
    <w:p w14:paraId="4169C7E2" w14:textId="6756C1EC" w:rsidR="00A04449" w:rsidRPr="003331E1" w:rsidRDefault="005923C6" w:rsidP="000B00AF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331E1">
        <w:rPr>
          <w:rFonts w:asciiTheme="minorHAnsi" w:hAnsiTheme="minorHAnsi" w:cstheme="minorHAnsi"/>
          <w:sz w:val="22"/>
          <w:szCs w:val="22"/>
        </w:rPr>
        <w:t xml:space="preserve">Automatyzacja dla firm przemysłowych z branży tworzyw sztucznych, poligraficznej, obróbki metalu i tzw. food </w:t>
      </w:r>
      <w:r w:rsidR="00C70295">
        <w:rPr>
          <w:rFonts w:asciiTheme="minorHAnsi" w:hAnsiTheme="minorHAnsi" w:cstheme="minorHAnsi"/>
          <w:sz w:val="22"/>
          <w:szCs w:val="22"/>
        </w:rPr>
        <w:t>and</w:t>
      </w:r>
      <w:r w:rsidR="00C70295" w:rsidRPr="003331E1">
        <w:rPr>
          <w:rFonts w:asciiTheme="minorHAnsi" w:hAnsiTheme="minorHAnsi" w:cstheme="minorHAnsi"/>
          <w:sz w:val="22"/>
          <w:szCs w:val="22"/>
        </w:rPr>
        <w:t xml:space="preserve"> </w:t>
      </w:r>
      <w:r w:rsidRPr="003331E1">
        <w:rPr>
          <w:rFonts w:asciiTheme="minorHAnsi" w:hAnsiTheme="minorHAnsi" w:cstheme="minorHAnsi"/>
          <w:sz w:val="22"/>
          <w:szCs w:val="22"/>
        </w:rPr>
        <w:t xml:space="preserve">beverage była ważna jeszcze przed </w:t>
      </w:r>
      <w:r w:rsidR="00EA72A3">
        <w:rPr>
          <w:rFonts w:asciiTheme="minorHAnsi" w:hAnsiTheme="minorHAnsi" w:cstheme="minorHAnsi"/>
          <w:sz w:val="22"/>
          <w:szCs w:val="22"/>
        </w:rPr>
        <w:t>epidemią</w:t>
      </w:r>
      <w:r w:rsidR="00C70295">
        <w:rPr>
          <w:rFonts w:asciiTheme="minorHAnsi" w:hAnsiTheme="minorHAnsi" w:cstheme="minorHAnsi"/>
          <w:sz w:val="22"/>
          <w:szCs w:val="22"/>
        </w:rPr>
        <w:t>.</w:t>
      </w:r>
      <w:r w:rsidRPr="003331E1">
        <w:rPr>
          <w:rFonts w:asciiTheme="minorHAnsi" w:hAnsiTheme="minorHAnsi" w:cstheme="minorHAnsi"/>
          <w:sz w:val="22"/>
          <w:szCs w:val="22"/>
        </w:rPr>
        <w:t xml:space="preserve"> Jak wynika z badania Siemens Financial Services, jej poziom </w:t>
      </w:r>
      <w:r w:rsidR="00F04850" w:rsidRPr="003331E1">
        <w:rPr>
          <w:rFonts w:asciiTheme="minorHAnsi" w:hAnsiTheme="minorHAnsi" w:cstheme="minorHAnsi"/>
          <w:sz w:val="22"/>
          <w:szCs w:val="22"/>
        </w:rPr>
        <w:t>zwiększyło</w:t>
      </w:r>
      <w:r w:rsidRPr="003331E1">
        <w:rPr>
          <w:rFonts w:asciiTheme="minorHAnsi" w:hAnsiTheme="minorHAnsi" w:cstheme="minorHAnsi"/>
          <w:sz w:val="22"/>
          <w:szCs w:val="22"/>
        </w:rPr>
        <w:t xml:space="preserve"> </w:t>
      </w:r>
      <w:r w:rsidR="00D0433B" w:rsidRPr="003331E1">
        <w:rPr>
          <w:rFonts w:asciiTheme="minorHAnsi" w:hAnsiTheme="minorHAnsi" w:cstheme="minorHAnsi"/>
          <w:sz w:val="22"/>
          <w:szCs w:val="22"/>
        </w:rPr>
        <w:t>35,2 proc. ankietowany</w:t>
      </w:r>
      <w:r w:rsidR="00E84941">
        <w:rPr>
          <w:rFonts w:asciiTheme="minorHAnsi" w:hAnsiTheme="minorHAnsi" w:cstheme="minorHAnsi"/>
          <w:sz w:val="22"/>
          <w:szCs w:val="22"/>
        </w:rPr>
        <w:t xml:space="preserve">ch </w:t>
      </w:r>
      <w:r w:rsidR="00D0433B" w:rsidRPr="003331E1">
        <w:rPr>
          <w:rFonts w:asciiTheme="minorHAnsi" w:hAnsiTheme="minorHAnsi" w:cstheme="minorHAnsi"/>
          <w:sz w:val="22"/>
          <w:szCs w:val="22"/>
        </w:rPr>
        <w:t>przedsiębiorców z tych sektorów</w:t>
      </w:r>
      <w:r w:rsidR="00F04850" w:rsidRPr="003331E1">
        <w:rPr>
          <w:rFonts w:asciiTheme="minorHAnsi" w:hAnsiTheme="minorHAnsi" w:cstheme="minorHAnsi"/>
          <w:sz w:val="22"/>
          <w:szCs w:val="22"/>
        </w:rPr>
        <w:t>, a zmniejszyło zaledwie 1,5 proc</w:t>
      </w:r>
      <w:r w:rsidR="00D0433B" w:rsidRPr="003331E1">
        <w:rPr>
          <w:rFonts w:asciiTheme="minorHAnsi" w:hAnsiTheme="minorHAnsi" w:cstheme="minorHAnsi"/>
          <w:sz w:val="22"/>
          <w:szCs w:val="22"/>
        </w:rPr>
        <w:t>.</w:t>
      </w:r>
      <w:r w:rsidR="00E84941">
        <w:rPr>
          <w:rFonts w:asciiTheme="minorHAnsi" w:hAnsiTheme="minorHAnsi" w:cstheme="minorHAnsi"/>
          <w:sz w:val="22"/>
          <w:szCs w:val="22"/>
        </w:rPr>
        <w:t>;</w:t>
      </w:r>
      <w:r w:rsidR="00A04449" w:rsidRPr="003331E1">
        <w:rPr>
          <w:rFonts w:asciiTheme="minorHAnsi" w:hAnsiTheme="minorHAnsi" w:cstheme="minorHAnsi"/>
          <w:sz w:val="22"/>
          <w:szCs w:val="22"/>
        </w:rPr>
        <w:t xml:space="preserve"> u 59,1 proc. pozostał bez zmian.</w:t>
      </w:r>
      <w:r w:rsidR="004F4626" w:rsidRPr="003331E1">
        <w:rPr>
          <w:rFonts w:asciiTheme="minorHAnsi" w:hAnsiTheme="minorHAnsi" w:cstheme="minorHAnsi"/>
          <w:sz w:val="22"/>
          <w:szCs w:val="22"/>
        </w:rPr>
        <w:t xml:space="preserve"> </w:t>
      </w:r>
      <w:r w:rsidR="00A04449" w:rsidRPr="003331E1">
        <w:rPr>
          <w:rFonts w:asciiTheme="minorHAnsi" w:hAnsiTheme="minorHAnsi" w:cstheme="minorHAnsi"/>
          <w:sz w:val="22"/>
          <w:szCs w:val="22"/>
        </w:rPr>
        <w:t>Jeszcze więcej firm chciał</w:t>
      </w:r>
      <w:r w:rsidR="00E84941">
        <w:rPr>
          <w:rFonts w:asciiTheme="minorHAnsi" w:hAnsiTheme="minorHAnsi" w:cstheme="minorHAnsi"/>
          <w:sz w:val="22"/>
          <w:szCs w:val="22"/>
        </w:rPr>
        <w:t>o</w:t>
      </w:r>
      <w:r w:rsidR="00A04449" w:rsidRPr="003331E1">
        <w:rPr>
          <w:rFonts w:asciiTheme="minorHAnsi" w:hAnsiTheme="minorHAnsi" w:cstheme="minorHAnsi"/>
          <w:sz w:val="22"/>
          <w:szCs w:val="22"/>
        </w:rPr>
        <w:t xml:space="preserve"> podnosić poziom automatyzacji procesów produkcji w ciągu najbliższych 12 miesięcy – aż 44,5 proc. </w:t>
      </w:r>
    </w:p>
    <w:p w14:paraId="777B5072" w14:textId="5ABCEFA8" w:rsidR="00AD38C4" w:rsidRDefault="001A466A" w:rsidP="00AD38C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 trzecia firma</w:t>
      </w:r>
      <w:r w:rsidR="00221E0E">
        <w:rPr>
          <w:rFonts w:asciiTheme="minorHAnsi" w:hAnsiTheme="minorHAnsi" w:cstheme="minorHAnsi"/>
          <w:sz w:val="22"/>
          <w:szCs w:val="22"/>
        </w:rPr>
        <w:t xml:space="preserve"> z badanych branż zwiększyła również nakłady na odnowienie swojego park</w:t>
      </w:r>
      <w:r w:rsidR="00F87455">
        <w:rPr>
          <w:rFonts w:asciiTheme="minorHAnsi" w:hAnsiTheme="minorHAnsi" w:cstheme="minorHAnsi"/>
          <w:sz w:val="22"/>
          <w:szCs w:val="22"/>
        </w:rPr>
        <w:t>u maszyn i </w:t>
      </w:r>
      <w:r w:rsidR="004715A1">
        <w:rPr>
          <w:rFonts w:asciiTheme="minorHAnsi" w:hAnsiTheme="minorHAnsi" w:cstheme="minorHAnsi"/>
          <w:sz w:val="22"/>
          <w:szCs w:val="22"/>
        </w:rPr>
        <w:t>urządzeń. Ograniczyło</w:t>
      </w:r>
      <w:r w:rsidR="00221E0E">
        <w:rPr>
          <w:rFonts w:asciiTheme="minorHAnsi" w:hAnsiTheme="minorHAnsi" w:cstheme="minorHAnsi"/>
          <w:sz w:val="22"/>
          <w:szCs w:val="22"/>
        </w:rPr>
        <w:t xml:space="preserve"> je 6 proc., a u 59,3 proc.</w:t>
      </w:r>
      <w:r w:rsidR="004715A1">
        <w:rPr>
          <w:rFonts w:asciiTheme="minorHAnsi" w:hAnsiTheme="minorHAnsi" w:cstheme="minorHAnsi"/>
          <w:sz w:val="22"/>
          <w:szCs w:val="22"/>
        </w:rPr>
        <w:t xml:space="preserve"> ankietowanych</w:t>
      </w:r>
      <w:r w:rsidR="00221E0E">
        <w:rPr>
          <w:rFonts w:asciiTheme="minorHAnsi" w:hAnsiTheme="minorHAnsi" w:cstheme="minorHAnsi"/>
          <w:sz w:val="22"/>
          <w:szCs w:val="22"/>
        </w:rPr>
        <w:t xml:space="preserve"> pozostał</w:t>
      </w:r>
      <w:r w:rsidR="00E84941">
        <w:rPr>
          <w:rFonts w:asciiTheme="minorHAnsi" w:hAnsiTheme="minorHAnsi" w:cstheme="minorHAnsi"/>
          <w:sz w:val="22"/>
          <w:szCs w:val="22"/>
        </w:rPr>
        <w:t>y</w:t>
      </w:r>
      <w:r w:rsidR="00221E0E">
        <w:rPr>
          <w:rFonts w:asciiTheme="minorHAnsi" w:hAnsiTheme="minorHAnsi" w:cstheme="minorHAnsi"/>
          <w:sz w:val="22"/>
          <w:szCs w:val="22"/>
        </w:rPr>
        <w:t xml:space="preserve"> bez zmian.</w:t>
      </w:r>
      <w:r w:rsidR="00CC47F5">
        <w:rPr>
          <w:rFonts w:asciiTheme="minorHAnsi" w:hAnsiTheme="minorHAnsi" w:cstheme="minorHAnsi"/>
          <w:sz w:val="22"/>
          <w:szCs w:val="22"/>
        </w:rPr>
        <w:t xml:space="preserve"> W ciągu najbliższych 12 miesięcy nakłady na odnowienie maszyn i urządzeń chciało zwiększyć 38,</w:t>
      </w:r>
      <w:r w:rsidR="00890A37">
        <w:rPr>
          <w:rFonts w:asciiTheme="minorHAnsi" w:hAnsiTheme="minorHAnsi" w:cstheme="minorHAnsi"/>
          <w:sz w:val="22"/>
          <w:szCs w:val="22"/>
        </w:rPr>
        <w:t>2 proc. a zmniejszyć 5,8 proc. Co ważne</w:t>
      </w:r>
      <w:r w:rsidR="006B3931">
        <w:rPr>
          <w:rFonts w:asciiTheme="minorHAnsi" w:hAnsiTheme="minorHAnsi" w:cstheme="minorHAnsi"/>
          <w:sz w:val="22"/>
          <w:szCs w:val="22"/>
        </w:rPr>
        <w:t>, firmy także częściej odnawiały</w:t>
      </w:r>
      <w:r w:rsidR="00890A37">
        <w:rPr>
          <w:rFonts w:asciiTheme="minorHAnsi" w:hAnsiTheme="minorHAnsi" w:cstheme="minorHAnsi"/>
          <w:sz w:val="22"/>
          <w:szCs w:val="22"/>
        </w:rPr>
        <w:t xml:space="preserve"> swój park maszynowy</w:t>
      </w:r>
      <w:r w:rsidR="00E84941">
        <w:rPr>
          <w:rFonts w:asciiTheme="minorHAnsi" w:hAnsiTheme="minorHAnsi" w:cstheme="minorHAnsi"/>
          <w:sz w:val="22"/>
          <w:szCs w:val="22"/>
        </w:rPr>
        <w:t xml:space="preserve"> – w </w:t>
      </w:r>
      <w:r w:rsidR="00890A37">
        <w:rPr>
          <w:rFonts w:asciiTheme="minorHAnsi" w:hAnsiTheme="minorHAnsi" w:cstheme="minorHAnsi"/>
          <w:sz w:val="22"/>
          <w:szCs w:val="22"/>
        </w:rPr>
        <w:t xml:space="preserve">porównaniu do </w:t>
      </w:r>
      <w:r w:rsidR="00FD47E6">
        <w:rPr>
          <w:rFonts w:asciiTheme="minorHAnsi" w:hAnsiTheme="minorHAnsi" w:cstheme="minorHAnsi"/>
          <w:sz w:val="22"/>
          <w:szCs w:val="22"/>
        </w:rPr>
        <w:t>ubiegłego</w:t>
      </w:r>
      <w:r w:rsidR="00890A37">
        <w:rPr>
          <w:rFonts w:asciiTheme="minorHAnsi" w:hAnsiTheme="minorHAnsi" w:cstheme="minorHAnsi"/>
          <w:sz w:val="22"/>
          <w:szCs w:val="22"/>
        </w:rPr>
        <w:t xml:space="preserve"> roku zrobiło to co czwarte badane przedsiębiorstwo. </w:t>
      </w:r>
      <w:r w:rsidR="006B3931">
        <w:rPr>
          <w:rFonts w:asciiTheme="minorHAnsi" w:hAnsiTheme="minorHAnsi" w:cstheme="minorHAnsi"/>
          <w:sz w:val="22"/>
          <w:szCs w:val="22"/>
        </w:rPr>
        <w:t>Niecałe 12 proc. wskazało</w:t>
      </w:r>
      <w:r w:rsidR="00AD38C4">
        <w:rPr>
          <w:rFonts w:asciiTheme="minorHAnsi" w:hAnsiTheme="minorHAnsi" w:cstheme="minorHAnsi"/>
          <w:sz w:val="22"/>
          <w:szCs w:val="22"/>
        </w:rPr>
        <w:t xml:space="preserve"> także na większy udział finansowania zewnętrznego w swoim parku maszyn i urządzeń, w przypadku 66,5 proc. utrzymał się na takim samym poziomie, a spadł zaledwie u 5,8 proc. </w:t>
      </w:r>
    </w:p>
    <w:p w14:paraId="58D57781" w14:textId="5B2FE819" w:rsidR="00A04449" w:rsidRDefault="00A04449" w:rsidP="000B00AF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57B4B47" w14:textId="77777777" w:rsidR="00313960" w:rsidRDefault="00B879AD" w:rsidP="009B0EAD">
      <w:pPr>
        <w:keepNext/>
        <w:tabs>
          <w:tab w:val="left" w:pos="2436"/>
        </w:tabs>
        <w:spacing w:after="120"/>
        <w:jc w:val="both"/>
      </w:pPr>
      <w:r w:rsidRPr="009B65F5">
        <w:rPr>
          <w:rFonts w:asciiTheme="minorHAnsi" w:hAnsiTheme="minorHAnsi" w:cstheme="minorHAnsi"/>
          <w:noProof/>
          <w:sz w:val="22"/>
          <w:szCs w:val="22"/>
          <w:lang w:eastAsia="pl-PL"/>
        </w:rPr>
        <w:lastRenderedPageBreak/>
        <w:drawing>
          <wp:inline distT="0" distB="0" distL="0" distR="0" wp14:anchorId="356345BF" wp14:editId="01A57470">
            <wp:extent cx="6115050" cy="182245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08DB601" w14:textId="6BB17655" w:rsidR="00313960" w:rsidRPr="00D37965" w:rsidRDefault="00313960" w:rsidP="009B0EAD">
      <w:pPr>
        <w:pStyle w:val="Legenda"/>
        <w:jc w:val="both"/>
        <w:rPr>
          <w:rFonts w:asciiTheme="minorHAnsi" w:hAnsiTheme="minorHAnsi" w:cstheme="minorHAnsi"/>
          <w:sz w:val="22"/>
          <w:szCs w:val="22"/>
        </w:rPr>
      </w:pPr>
      <w:r w:rsidRPr="00C87A3C">
        <w:rPr>
          <w:sz w:val="16"/>
          <w:szCs w:val="16"/>
        </w:rPr>
        <w:t>Źródło: Badanie Instyt</w:t>
      </w:r>
      <w:r w:rsidRPr="00D37965">
        <w:rPr>
          <w:sz w:val="16"/>
          <w:szCs w:val="16"/>
        </w:rPr>
        <w:t>u</w:t>
      </w:r>
      <w:r w:rsidRPr="009B0EAD">
        <w:rPr>
          <w:sz w:val="16"/>
          <w:szCs w:val="16"/>
        </w:rPr>
        <w:t>t</w:t>
      </w:r>
      <w:r w:rsidRPr="00C87A3C">
        <w:rPr>
          <w:sz w:val="16"/>
          <w:szCs w:val="16"/>
        </w:rPr>
        <w:t>u Keralla Research</w:t>
      </w:r>
      <w:r w:rsidRPr="00D37965">
        <w:rPr>
          <w:sz w:val="16"/>
          <w:szCs w:val="16"/>
        </w:rPr>
        <w:t xml:space="preserve"> na zlecenie Siemens Financial Services, marzec 2020.</w:t>
      </w:r>
    </w:p>
    <w:p w14:paraId="6D944C62" w14:textId="065A661C" w:rsidR="000F0CA9" w:rsidRDefault="001A466A" w:rsidP="000B00AF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B0EAD">
        <w:rPr>
          <w:rFonts w:asciiTheme="minorHAnsi" w:hAnsiTheme="minorHAnsi" w:cstheme="minorHAnsi"/>
          <w:i/>
          <w:sz w:val="22"/>
          <w:szCs w:val="22"/>
        </w:rPr>
        <w:t xml:space="preserve">- Automatyzacja, digitalizacja, nowoczesny park maszyn i urządzeń były kluczowe do zachowania konkurencyjności jeszcze przed </w:t>
      </w:r>
      <w:r w:rsidR="00371502" w:rsidRPr="009B0EAD">
        <w:rPr>
          <w:rFonts w:asciiTheme="minorHAnsi" w:hAnsiTheme="minorHAnsi" w:cstheme="minorHAnsi"/>
          <w:i/>
          <w:sz w:val="22"/>
          <w:szCs w:val="22"/>
        </w:rPr>
        <w:t>epidemią</w:t>
      </w:r>
      <w:r w:rsidRPr="009B0EAD">
        <w:rPr>
          <w:rFonts w:asciiTheme="minorHAnsi" w:hAnsiTheme="minorHAnsi" w:cstheme="minorHAnsi"/>
          <w:i/>
          <w:sz w:val="22"/>
          <w:szCs w:val="22"/>
        </w:rPr>
        <w:t>. Teraz, w nowej</w:t>
      </w:r>
      <w:r w:rsidR="000F0CA9" w:rsidRPr="009B0EAD">
        <w:rPr>
          <w:rFonts w:asciiTheme="minorHAnsi" w:hAnsiTheme="minorHAnsi" w:cstheme="minorHAnsi"/>
          <w:i/>
          <w:sz w:val="22"/>
          <w:szCs w:val="22"/>
        </w:rPr>
        <w:t xml:space="preserve"> rzeczywistości powinno</w:t>
      </w:r>
      <w:r w:rsidRPr="009B0EAD">
        <w:rPr>
          <w:rFonts w:asciiTheme="minorHAnsi" w:hAnsiTheme="minorHAnsi" w:cstheme="minorHAnsi"/>
          <w:i/>
          <w:sz w:val="22"/>
          <w:szCs w:val="22"/>
        </w:rPr>
        <w:t xml:space="preserve"> to postępować, co już obserwujemy</w:t>
      </w:r>
      <w:r w:rsidR="000F0CA9" w:rsidRPr="009B0EAD">
        <w:rPr>
          <w:rFonts w:asciiTheme="minorHAnsi" w:hAnsiTheme="minorHAnsi" w:cstheme="minorHAnsi"/>
          <w:i/>
          <w:sz w:val="22"/>
          <w:szCs w:val="22"/>
        </w:rPr>
        <w:t xml:space="preserve"> wśród niektórych</w:t>
      </w:r>
      <w:r w:rsidR="004F7092" w:rsidRPr="009B0EAD">
        <w:rPr>
          <w:rFonts w:asciiTheme="minorHAnsi" w:hAnsiTheme="minorHAnsi" w:cstheme="minorHAnsi"/>
          <w:i/>
          <w:sz w:val="22"/>
          <w:szCs w:val="22"/>
        </w:rPr>
        <w:t xml:space="preserve"> klientów</w:t>
      </w:r>
      <w:r w:rsidRPr="009B0EAD">
        <w:rPr>
          <w:rFonts w:asciiTheme="minorHAnsi" w:hAnsiTheme="minorHAnsi" w:cstheme="minorHAnsi"/>
          <w:i/>
          <w:sz w:val="22"/>
          <w:szCs w:val="22"/>
        </w:rPr>
        <w:t>. Firmy nie czekają aż wirus SARS-CoV</w:t>
      </w:r>
      <w:r w:rsidR="00935116" w:rsidRPr="009B0EAD">
        <w:rPr>
          <w:rFonts w:asciiTheme="minorHAnsi" w:hAnsiTheme="minorHAnsi" w:cstheme="minorHAnsi"/>
          <w:i/>
          <w:sz w:val="22"/>
          <w:szCs w:val="22"/>
        </w:rPr>
        <w:t>-</w:t>
      </w:r>
      <w:r w:rsidRPr="009B0EAD">
        <w:rPr>
          <w:rFonts w:asciiTheme="minorHAnsi" w:hAnsiTheme="minorHAnsi" w:cstheme="minorHAnsi"/>
          <w:i/>
          <w:sz w:val="22"/>
          <w:szCs w:val="22"/>
        </w:rPr>
        <w:t>2 zniknie i wszystko wróci do normy.</w:t>
      </w:r>
      <w:r w:rsidR="0015768F" w:rsidRPr="009B0EAD">
        <w:rPr>
          <w:rFonts w:asciiTheme="minorHAnsi" w:hAnsiTheme="minorHAnsi" w:cstheme="minorHAnsi"/>
          <w:i/>
          <w:sz w:val="22"/>
          <w:szCs w:val="22"/>
        </w:rPr>
        <w:t xml:space="preserve"> Są kreatywne i próbują dostosować się do obecnej sytuacji. Nie wiemy jeszcze na jak d</w:t>
      </w:r>
      <w:r w:rsidR="00F87455" w:rsidRPr="009B0EAD">
        <w:rPr>
          <w:rFonts w:asciiTheme="minorHAnsi" w:hAnsiTheme="minorHAnsi" w:cstheme="minorHAnsi"/>
          <w:i/>
          <w:sz w:val="22"/>
          <w:szCs w:val="22"/>
        </w:rPr>
        <w:t>ługo wirus z </w:t>
      </w:r>
      <w:r w:rsidR="0015768F" w:rsidRPr="009B0EAD">
        <w:rPr>
          <w:rFonts w:asciiTheme="minorHAnsi" w:hAnsiTheme="minorHAnsi" w:cstheme="minorHAnsi"/>
          <w:i/>
          <w:sz w:val="22"/>
          <w:szCs w:val="22"/>
        </w:rPr>
        <w:t>nami zostanie, dlatego przedsiębiorcy będ</w:t>
      </w:r>
      <w:r w:rsidR="00A35E01" w:rsidRPr="009B0EAD">
        <w:rPr>
          <w:rFonts w:asciiTheme="minorHAnsi" w:hAnsiTheme="minorHAnsi" w:cstheme="minorHAnsi"/>
          <w:i/>
          <w:sz w:val="22"/>
          <w:szCs w:val="22"/>
        </w:rPr>
        <w:t>ą</w:t>
      </w:r>
      <w:r w:rsidR="0015768F" w:rsidRPr="009B0EAD">
        <w:rPr>
          <w:rFonts w:asciiTheme="minorHAnsi" w:hAnsiTheme="minorHAnsi" w:cstheme="minorHAnsi"/>
          <w:i/>
          <w:sz w:val="22"/>
          <w:szCs w:val="22"/>
        </w:rPr>
        <w:t xml:space="preserve"> szukać sposob</w:t>
      </w:r>
      <w:r w:rsidR="004F7092" w:rsidRPr="009B0EAD">
        <w:rPr>
          <w:rFonts w:asciiTheme="minorHAnsi" w:hAnsiTheme="minorHAnsi" w:cstheme="minorHAnsi"/>
          <w:i/>
          <w:sz w:val="22"/>
          <w:szCs w:val="22"/>
        </w:rPr>
        <w:t>ów na zabezpieczenie się przed ewentualnymi</w:t>
      </w:r>
      <w:r w:rsidR="000F0CA9" w:rsidRPr="009B0EAD">
        <w:rPr>
          <w:rFonts w:asciiTheme="minorHAnsi" w:hAnsiTheme="minorHAnsi" w:cstheme="minorHAnsi"/>
          <w:i/>
          <w:sz w:val="22"/>
          <w:szCs w:val="22"/>
        </w:rPr>
        <w:t>,</w:t>
      </w:r>
      <w:r w:rsidR="0015768F" w:rsidRPr="009B0EA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F7092" w:rsidRPr="009B0EAD">
        <w:rPr>
          <w:rFonts w:asciiTheme="minorHAnsi" w:hAnsiTheme="minorHAnsi" w:cstheme="minorHAnsi"/>
          <w:i/>
          <w:sz w:val="22"/>
          <w:szCs w:val="22"/>
        </w:rPr>
        <w:t>kolejnymi</w:t>
      </w:r>
      <w:r w:rsidR="0015768F" w:rsidRPr="009B0EAD">
        <w:rPr>
          <w:rFonts w:asciiTheme="minorHAnsi" w:hAnsiTheme="minorHAnsi" w:cstheme="minorHAnsi"/>
          <w:i/>
          <w:sz w:val="22"/>
          <w:szCs w:val="22"/>
        </w:rPr>
        <w:t xml:space="preserve"> fal</w:t>
      </w:r>
      <w:r w:rsidR="004F7092" w:rsidRPr="009B0EAD">
        <w:rPr>
          <w:rFonts w:asciiTheme="minorHAnsi" w:hAnsiTheme="minorHAnsi" w:cstheme="minorHAnsi"/>
          <w:i/>
          <w:sz w:val="22"/>
          <w:szCs w:val="22"/>
        </w:rPr>
        <w:t>ami</w:t>
      </w:r>
      <w:r w:rsidR="0015768F" w:rsidRPr="009B0EAD">
        <w:rPr>
          <w:rFonts w:asciiTheme="minorHAnsi" w:hAnsiTheme="minorHAnsi" w:cstheme="minorHAnsi"/>
          <w:i/>
          <w:sz w:val="22"/>
          <w:szCs w:val="22"/>
        </w:rPr>
        <w:t xml:space="preserve"> epidemii, zwiększając digitalizacj</w:t>
      </w:r>
      <w:r w:rsidR="00DE3826">
        <w:rPr>
          <w:rFonts w:asciiTheme="minorHAnsi" w:hAnsiTheme="minorHAnsi" w:cstheme="minorHAnsi"/>
          <w:i/>
          <w:sz w:val="22"/>
          <w:szCs w:val="22"/>
        </w:rPr>
        <w:t>ę</w:t>
      </w:r>
      <w:r w:rsidR="0015768F" w:rsidRPr="009B0EAD">
        <w:rPr>
          <w:rFonts w:asciiTheme="minorHAnsi" w:hAnsiTheme="minorHAnsi" w:cstheme="minorHAnsi"/>
          <w:i/>
          <w:sz w:val="22"/>
          <w:szCs w:val="22"/>
        </w:rPr>
        <w:t>, automatyzację i zdalną kontrolę</w:t>
      </w:r>
      <w:r w:rsidR="0015768F" w:rsidRPr="009B0EAD">
        <w:rPr>
          <w:rFonts w:asciiTheme="minorHAnsi" w:hAnsiTheme="minorHAnsi" w:cstheme="minorHAnsi"/>
          <w:sz w:val="22"/>
          <w:szCs w:val="22"/>
        </w:rPr>
        <w:t xml:space="preserve"> – </w:t>
      </w:r>
      <w:r w:rsidR="000F0CA9" w:rsidRPr="009B0EAD">
        <w:rPr>
          <w:rFonts w:asciiTheme="minorHAnsi" w:hAnsiTheme="minorHAnsi" w:cstheme="minorHAnsi"/>
          <w:sz w:val="22"/>
          <w:szCs w:val="22"/>
        </w:rPr>
        <w:t xml:space="preserve">ocenia </w:t>
      </w:r>
      <w:r w:rsidR="000F0CA9" w:rsidRPr="009B0EAD">
        <w:rPr>
          <w:rFonts w:asciiTheme="minorHAnsi" w:hAnsiTheme="minorHAnsi" w:cstheme="minorHAnsi"/>
          <w:b/>
          <w:sz w:val="22"/>
          <w:szCs w:val="22"/>
        </w:rPr>
        <w:t>Cezary Mychlewicz</w:t>
      </w:r>
      <w:r w:rsidR="000F0CA9" w:rsidRPr="009B0EAD">
        <w:rPr>
          <w:rFonts w:asciiTheme="minorHAnsi" w:hAnsiTheme="minorHAnsi" w:cstheme="minorHAnsi"/>
          <w:sz w:val="22"/>
          <w:szCs w:val="22"/>
        </w:rPr>
        <w:t>, dyrektor ds. marketingu branż przemysłowych w Siemens.</w:t>
      </w:r>
    </w:p>
    <w:p w14:paraId="592E1C8A" w14:textId="6D433792" w:rsidR="004F7092" w:rsidRPr="0073555D" w:rsidRDefault="0073555D" w:rsidP="000B00AF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55D">
        <w:rPr>
          <w:rFonts w:asciiTheme="minorHAnsi" w:hAnsiTheme="minorHAnsi" w:cstheme="minorHAnsi"/>
          <w:b/>
          <w:sz w:val="22"/>
          <w:szCs w:val="22"/>
        </w:rPr>
        <w:t>Maszyny i urządzenia finansowane leasingiem i wypracowanym zyskiem</w:t>
      </w:r>
    </w:p>
    <w:p w14:paraId="125680EF" w14:textId="5E77E3FB" w:rsidR="00B879AD" w:rsidRDefault="006B3931" w:rsidP="00B879A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Bardzo istotną kwestią</w:t>
      </w:r>
      <w:r w:rsidR="00B879AD">
        <w:rPr>
          <w:rFonts w:asciiTheme="minorHAnsi" w:hAnsiTheme="minorHAnsi" w:cstheme="minorHAnsi"/>
          <w:sz w:val="22"/>
          <w:szCs w:val="22"/>
        </w:rPr>
        <w:t xml:space="preserve"> w nowej rzeczywistości będzie odgrywał dostęp do finansowania. Na chwilę przed wybuchem epidemii</w:t>
      </w:r>
      <w:r w:rsidR="001935E2">
        <w:rPr>
          <w:rFonts w:asciiTheme="minorHAnsi" w:hAnsiTheme="minorHAnsi" w:cstheme="minorHAnsi"/>
          <w:sz w:val="22"/>
          <w:szCs w:val="22"/>
        </w:rPr>
        <w:t>,</w:t>
      </w:r>
      <w:r w:rsidR="00B879AD">
        <w:rPr>
          <w:rFonts w:asciiTheme="minorHAnsi" w:hAnsiTheme="minorHAnsi" w:cstheme="minorHAnsi"/>
          <w:sz w:val="22"/>
          <w:szCs w:val="22"/>
        </w:rPr>
        <w:t xml:space="preserve"> małe i średnie firmy przemysłowe z badanych branż najczęściej finansowały swoje parki maszyn i urządzeń ze środków własnych</w:t>
      </w:r>
      <w:r w:rsidR="00B879AD" w:rsidRPr="001C7E54">
        <w:rPr>
          <w:rFonts w:asciiTheme="minorHAnsi" w:hAnsiTheme="minorHAnsi" w:cstheme="minorHAnsi"/>
          <w:sz w:val="22"/>
          <w:szCs w:val="22"/>
        </w:rPr>
        <w:t xml:space="preserve">. </w:t>
      </w:r>
      <w:r w:rsidR="00581DA3">
        <w:rPr>
          <w:rFonts w:asciiTheme="minorHAnsi" w:hAnsiTheme="minorHAnsi" w:cstheme="minorHAnsi"/>
          <w:sz w:val="22"/>
          <w:szCs w:val="22"/>
        </w:rPr>
        <w:t>W</w:t>
      </w:r>
      <w:r w:rsidR="006F19B0">
        <w:rPr>
          <w:rFonts w:asciiTheme="minorHAnsi" w:hAnsiTheme="minorHAnsi" w:cstheme="minorHAnsi"/>
          <w:sz w:val="22"/>
          <w:szCs w:val="22"/>
        </w:rPr>
        <w:t>ykorzystywało je</w:t>
      </w:r>
      <w:r w:rsidR="00EA72A3">
        <w:rPr>
          <w:rFonts w:asciiTheme="minorHAnsi" w:hAnsiTheme="minorHAnsi" w:cstheme="minorHAnsi"/>
          <w:sz w:val="22"/>
          <w:szCs w:val="22"/>
        </w:rPr>
        <w:t xml:space="preserve"> aż</w:t>
      </w:r>
      <w:r w:rsidR="00B879AD">
        <w:rPr>
          <w:rFonts w:asciiTheme="minorHAnsi" w:hAnsiTheme="minorHAnsi" w:cstheme="minorHAnsi"/>
          <w:sz w:val="22"/>
          <w:szCs w:val="22"/>
        </w:rPr>
        <w:t xml:space="preserve"> </w:t>
      </w:r>
      <w:r w:rsidR="00B879AD" w:rsidRPr="009B6BDB">
        <w:rPr>
          <w:rFonts w:asciiTheme="minorHAnsi" w:hAnsiTheme="minorHAnsi" w:cstheme="minorHAnsi"/>
          <w:sz w:val="22"/>
          <w:szCs w:val="22"/>
        </w:rPr>
        <w:t xml:space="preserve">73 proc., </w:t>
      </w:r>
      <w:r w:rsidR="006F19B0">
        <w:rPr>
          <w:rFonts w:asciiTheme="minorHAnsi" w:hAnsiTheme="minorHAnsi" w:cstheme="minorHAnsi"/>
          <w:sz w:val="22"/>
          <w:szCs w:val="22"/>
        </w:rPr>
        <w:t xml:space="preserve">z czego </w:t>
      </w:r>
      <w:r w:rsidR="00B879AD" w:rsidRPr="009B6BDB">
        <w:rPr>
          <w:rFonts w:asciiTheme="minorHAnsi" w:hAnsiTheme="minorHAnsi" w:cstheme="minorHAnsi"/>
          <w:sz w:val="22"/>
          <w:szCs w:val="22"/>
        </w:rPr>
        <w:t xml:space="preserve"> 32,8</w:t>
      </w:r>
      <w:r w:rsidR="00B879AD">
        <w:rPr>
          <w:rFonts w:asciiTheme="minorHAnsi" w:hAnsiTheme="minorHAnsi" w:cstheme="minorHAnsi"/>
          <w:sz w:val="22"/>
          <w:szCs w:val="22"/>
        </w:rPr>
        <w:t xml:space="preserve"> proc. </w:t>
      </w:r>
      <w:r w:rsidR="006F19B0">
        <w:rPr>
          <w:rFonts w:asciiTheme="minorHAnsi" w:hAnsiTheme="minorHAnsi" w:cstheme="minorHAnsi"/>
          <w:sz w:val="22"/>
          <w:szCs w:val="22"/>
        </w:rPr>
        <w:t>opłacało sprzęt</w:t>
      </w:r>
      <w:r w:rsidR="00F87455">
        <w:rPr>
          <w:rFonts w:asciiTheme="minorHAnsi" w:hAnsiTheme="minorHAnsi" w:cstheme="minorHAnsi"/>
          <w:sz w:val="22"/>
          <w:szCs w:val="22"/>
        </w:rPr>
        <w:t xml:space="preserve"> w </w:t>
      </w:r>
      <w:r w:rsidR="00B879AD">
        <w:rPr>
          <w:rFonts w:asciiTheme="minorHAnsi" w:hAnsiTheme="minorHAnsi" w:cstheme="minorHAnsi"/>
          <w:sz w:val="22"/>
          <w:szCs w:val="22"/>
        </w:rPr>
        <w:t>całości z wypracowanych zysków. W przypadku finansowania zewnętrznego, najpopular</w:t>
      </w:r>
      <w:r w:rsidR="00977866">
        <w:rPr>
          <w:rFonts w:asciiTheme="minorHAnsi" w:hAnsiTheme="minorHAnsi" w:cstheme="minorHAnsi"/>
          <w:sz w:val="22"/>
          <w:szCs w:val="22"/>
        </w:rPr>
        <w:t>niejszym stosowanym sposobem był</w:t>
      </w:r>
      <w:r w:rsidR="00B879AD">
        <w:rPr>
          <w:rFonts w:asciiTheme="minorHAnsi" w:hAnsiTheme="minorHAnsi" w:cstheme="minorHAnsi"/>
          <w:sz w:val="22"/>
          <w:szCs w:val="22"/>
        </w:rPr>
        <w:t xml:space="preserve"> leasing – wynika z badania Siemens Financial Services. </w:t>
      </w:r>
      <w:r w:rsidR="006F19B0">
        <w:rPr>
          <w:rFonts w:asciiTheme="minorHAnsi" w:hAnsiTheme="minorHAnsi" w:cstheme="minorHAnsi"/>
          <w:sz w:val="22"/>
          <w:szCs w:val="22"/>
        </w:rPr>
        <w:t>K</w:t>
      </w:r>
      <w:r w:rsidR="00B879AD">
        <w:rPr>
          <w:rFonts w:asciiTheme="minorHAnsi" w:hAnsiTheme="minorHAnsi" w:cstheme="minorHAnsi"/>
          <w:sz w:val="22"/>
          <w:szCs w:val="22"/>
        </w:rPr>
        <w:t>orzystał z niego prawie co drugi przedsiębiorca (</w:t>
      </w:r>
      <w:r w:rsidR="00B879AD" w:rsidRPr="009B6BDB">
        <w:rPr>
          <w:rFonts w:asciiTheme="minorHAnsi" w:hAnsiTheme="minorHAnsi" w:cstheme="minorHAnsi"/>
          <w:sz w:val="22"/>
          <w:szCs w:val="22"/>
        </w:rPr>
        <w:t xml:space="preserve">47,4 proc), </w:t>
      </w:r>
      <w:r w:rsidR="006F19B0">
        <w:rPr>
          <w:rFonts w:asciiTheme="minorHAnsi" w:hAnsiTheme="minorHAnsi" w:cstheme="minorHAnsi"/>
          <w:sz w:val="22"/>
          <w:szCs w:val="22"/>
        </w:rPr>
        <w:t>z czego co szósty</w:t>
      </w:r>
      <w:r w:rsidR="00B879AD" w:rsidRPr="009B6BDB">
        <w:rPr>
          <w:rFonts w:asciiTheme="minorHAnsi" w:hAnsiTheme="minorHAnsi" w:cstheme="minorHAnsi"/>
          <w:sz w:val="22"/>
          <w:szCs w:val="22"/>
        </w:rPr>
        <w:t xml:space="preserve"> </w:t>
      </w:r>
      <w:r w:rsidR="006F19B0">
        <w:rPr>
          <w:rFonts w:asciiTheme="minorHAnsi" w:hAnsiTheme="minorHAnsi" w:cstheme="minorHAnsi"/>
          <w:sz w:val="22"/>
          <w:szCs w:val="22"/>
        </w:rPr>
        <w:t>(</w:t>
      </w:r>
      <w:r w:rsidR="00B879AD" w:rsidRPr="009B6BDB">
        <w:rPr>
          <w:rFonts w:asciiTheme="minorHAnsi" w:hAnsiTheme="minorHAnsi" w:cstheme="minorHAnsi"/>
          <w:sz w:val="22"/>
          <w:szCs w:val="22"/>
        </w:rPr>
        <w:t>16,4</w:t>
      </w:r>
      <w:r w:rsidR="00B879AD">
        <w:rPr>
          <w:rFonts w:asciiTheme="minorHAnsi" w:hAnsiTheme="minorHAnsi" w:cstheme="minorHAnsi"/>
          <w:sz w:val="22"/>
          <w:szCs w:val="22"/>
        </w:rPr>
        <w:t xml:space="preserve"> proc.</w:t>
      </w:r>
      <w:r w:rsidR="006F19B0">
        <w:rPr>
          <w:rFonts w:asciiTheme="minorHAnsi" w:hAnsiTheme="minorHAnsi" w:cstheme="minorHAnsi"/>
          <w:sz w:val="22"/>
          <w:szCs w:val="22"/>
        </w:rPr>
        <w:t>)</w:t>
      </w:r>
      <w:r w:rsidR="00B879AD">
        <w:rPr>
          <w:rFonts w:asciiTheme="minorHAnsi" w:hAnsiTheme="minorHAnsi" w:cstheme="minorHAnsi"/>
          <w:sz w:val="22"/>
          <w:szCs w:val="22"/>
        </w:rPr>
        <w:t xml:space="preserve"> </w:t>
      </w:r>
      <w:r w:rsidR="002C0B21">
        <w:rPr>
          <w:rFonts w:asciiTheme="minorHAnsi" w:hAnsiTheme="minorHAnsi" w:cstheme="minorHAnsi"/>
          <w:sz w:val="22"/>
          <w:szCs w:val="22"/>
        </w:rPr>
        <w:t>ankietowany</w:t>
      </w:r>
      <w:r w:rsidR="00B879AD">
        <w:rPr>
          <w:rFonts w:asciiTheme="minorHAnsi" w:hAnsiTheme="minorHAnsi" w:cstheme="minorHAnsi"/>
          <w:sz w:val="22"/>
          <w:szCs w:val="22"/>
        </w:rPr>
        <w:t xml:space="preserve"> finansował za pomocą leasingu cały park maszyn i urządzeń</w:t>
      </w:r>
      <w:r w:rsidR="006F19B0">
        <w:rPr>
          <w:rFonts w:asciiTheme="minorHAnsi" w:hAnsiTheme="minorHAnsi" w:cstheme="minorHAnsi"/>
          <w:sz w:val="22"/>
          <w:szCs w:val="22"/>
        </w:rPr>
        <w:t>, natomiast reszta (31 proc.) jakąś jego część</w:t>
      </w:r>
      <w:r w:rsidR="00B879AD">
        <w:rPr>
          <w:rFonts w:asciiTheme="minorHAnsi" w:hAnsiTheme="minorHAnsi" w:cstheme="minorHAnsi"/>
          <w:sz w:val="22"/>
          <w:szCs w:val="22"/>
        </w:rPr>
        <w:t>.</w:t>
      </w:r>
      <w:r w:rsidR="00E457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B98EA7" w14:textId="77777777" w:rsidR="00D66610" w:rsidRDefault="00AF58C0" w:rsidP="009B0EAD">
      <w:pPr>
        <w:keepNext/>
        <w:spacing w:after="120"/>
        <w:jc w:val="both"/>
      </w:pPr>
      <w:r w:rsidRPr="00D85287">
        <w:rPr>
          <w:rFonts w:ascii="Century Gothic" w:hAnsi="Century Gothic"/>
          <w:noProof/>
          <w:lang w:eastAsia="pl-PL"/>
        </w:rPr>
        <w:drawing>
          <wp:inline distT="0" distB="0" distL="0" distR="0" wp14:anchorId="67C62DA3" wp14:editId="6F08AB10">
            <wp:extent cx="6057900" cy="2057400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06414F3" w14:textId="4E089802" w:rsidR="00E457E8" w:rsidRPr="00C87A3C" w:rsidRDefault="00D66610" w:rsidP="009B0EAD">
      <w:pPr>
        <w:pStyle w:val="Legenda"/>
        <w:jc w:val="both"/>
        <w:rPr>
          <w:sz w:val="16"/>
          <w:szCs w:val="16"/>
        </w:rPr>
      </w:pPr>
      <w:r w:rsidRPr="009B0EAD">
        <w:rPr>
          <w:sz w:val="16"/>
          <w:szCs w:val="16"/>
        </w:rPr>
        <w:t>*Wykorzystywane do sfinansowania całości</w:t>
      </w:r>
      <w:r w:rsidRPr="00C87A3C">
        <w:rPr>
          <w:sz w:val="16"/>
          <w:szCs w:val="16"/>
        </w:rPr>
        <w:t xml:space="preserve"> parku MiU</w:t>
      </w:r>
      <w:r w:rsidRPr="009B0EAD">
        <w:rPr>
          <w:sz w:val="16"/>
          <w:szCs w:val="16"/>
        </w:rPr>
        <w:t xml:space="preserve"> lub jego części</w:t>
      </w:r>
    </w:p>
    <w:p w14:paraId="743FAE61" w14:textId="4A11A9B6" w:rsidR="00313960" w:rsidRPr="00634632" w:rsidRDefault="00313960" w:rsidP="009B0EAD">
      <w:pPr>
        <w:rPr>
          <w:i/>
          <w:iCs/>
          <w:color w:val="44546A" w:themeColor="text2"/>
          <w:sz w:val="16"/>
          <w:szCs w:val="16"/>
        </w:rPr>
      </w:pPr>
      <w:r w:rsidRPr="00C87A3C">
        <w:rPr>
          <w:i/>
          <w:iCs/>
          <w:color w:val="44546A" w:themeColor="text2"/>
          <w:sz w:val="16"/>
          <w:szCs w:val="16"/>
        </w:rPr>
        <w:t xml:space="preserve">Źródło: Badanie </w:t>
      </w:r>
      <w:r w:rsidRPr="00D37965">
        <w:rPr>
          <w:i/>
          <w:iCs/>
          <w:color w:val="44546A" w:themeColor="text2"/>
          <w:sz w:val="16"/>
          <w:szCs w:val="16"/>
        </w:rPr>
        <w:t>Instytutu Keralla Research na zlecenie Siemens Financial Services</w:t>
      </w:r>
      <w:r w:rsidRPr="00634632">
        <w:rPr>
          <w:i/>
          <w:iCs/>
          <w:color w:val="44546A" w:themeColor="text2"/>
          <w:sz w:val="16"/>
          <w:szCs w:val="16"/>
        </w:rPr>
        <w:t>, marzec 2020.</w:t>
      </w:r>
    </w:p>
    <w:p w14:paraId="22A8894E" w14:textId="77777777" w:rsidR="00313960" w:rsidRPr="009B0EAD" w:rsidRDefault="00313960" w:rsidP="009B0EAD"/>
    <w:p w14:paraId="1B9D1683" w14:textId="2E435CB1" w:rsidR="00B879AD" w:rsidRDefault="00B879AD" w:rsidP="00B879A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90790">
        <w:rPr>
          <w:rFonts w:asciiTheme="minorHAnsi" w:hAnsiTheme="minorHAnsi" w:cstheme="minorHAnsi"/>
          <w:i/>
          <w:sz w:val="22"/>
          <w:szCs w:val="22"/>
        </w:rPr>
        <w:t>- Małe i śre</w:t>
      </w:r>
      <w:r>
        <w:rPr>
          <w:rFonts w:asciiTheme="minorHAnsi" w:hAnsiTheme="minorHAnsi" w:cstheme="minorHAnsi"/>
          <w:i/>
          <w:sz w:val="22"/>
          <w:szCs w:val="22"/>
        </w:rPr>
        <w:t>dnie firmy przemysłowe doceniały</w:t>
      </w:r>
      <w:r w:rsidRPr="00990790">
        <w:rPr>
          <w:rFonts w:asciiTheme="minorHAnsi" w:hAnsiTheme="minorHAnsi" w:cstheme="minorHAnsi"/>
          <w:i/>
          <w:sz w:val="22"/>
          <w:szCs w:val="22"/>
        </w:rPr>
        <w:t xml:space="preserve"> leasing jako metodę</w:t>
      </w:r>
      <w:r>
        <w:rPr>
          <w:rFonts w:asciiTheme="minorHAnsi" w:hAnsiTheme="minorHAnsi" w:cstheme="minorHAnsi"/>
          <w:i/>
          <w:sz w:val="22"/>
          <w:szCs w:val="22"/>
        </w:rPr>
        <w:t xml:space="preserve"> f</w:t>
      </w:r>
      <w:r w:rsidR="00D75EFD">
        <w:rPr>
          <w:rFonts w:asciiTheme="minorHAnsi" w:hAnsiTheme="minorHAnsi" w:cstheme="minorHAnsi"/>
          <w:i/>
          <w:sz w:val="22"/>
          <w:szCs w:val="22"/>
        </w:rPr>
        <w:t>inansowania inwestycji. W pierwszej fazie</w:t>
      </w:r>
      <w:r>
        <w:rPr>
          <w:rFonts w:asciiTheme="minorHAnsi" w:hAnsiTheme="minorHAnsi" w:cstheme="minorHAnsi"/>
          <w:i/>
          <w:sz w:val="22"/>
          <w:szCs w:val="22"/>
        </w:rPr>
        <w:t xml:space="preserve"> epidemii COVID-19 część przedsiębiorstw zgormadzone zyski wykorzystała</w:t>
      </w:r>
      <w:r w:rsidR="005232F1">
        <w:rPr>
          <w:rFonts w:asciiTheme="minorHAnsi" w:hAnsiTheme="minorHAnsi" w:cstheme="minorHAnsi"/>
          <w:i/>
          <w:sz w:val="22"/>
          <w:szCs w:val="22"/>
        </w:rPr>
        <w:t xml:space="preserve"> prawdopodobnie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0284B">
        <w:rPr>
          <w:rFonts w:asciiTheme="minorHAnsi" w:hAnsiTheme="minorHAnsi" w:cstheme="minorHAnsi"/>
          <w:i/>
          <w:sz w:val="22"/>
          <w:szCs w:val="22"/>
        </w:rPr>
        <w:t>do utrzymania bieżącej płynności. Teraz, p</w:t>
      </w:r>
      <w:r w:rsidRPr="00990790">
        <w:rPr>
          <w:rFonts w:asciiTheme="minorHAnsi" w:hAnsiTheme="minorHAnsi" w:cstheme="minorHAnsi"/>
          <w:i/>
          <w:sz w:val="22"/>
          <w:szCs w:val="22"/>
        </w:rPr>
        <w:t xml:space="preserve">o </w:t>
      </w:r>
      <w:r w:rsidR="0040284B">
        <w:rPr>
          <w:rFonts w:asciiTheme="minorHAnsi" w:hAnsiTheme="minorHAnsi" w:cstheme="minorHAnsi"/>
          <w:i/>
          <w:sz w:val="22"/>
          <w:szCs w:val="22"/>
        </w:rPr>
        <w:t xml:space="preserve">częściowym </w:t>
      </w:r>
      <w:r w:rsidRPr="00990790">
        <w:rPr>
          <w:rFonts w:asciiTheme="minorHAnsi" w:hAnsiTheme="minorHAnsi" w:cstheme="minorHAnsi"/>
          <w:i/>
          <w:sz w:val="22"/>
          <w:szCs w:val="22"/>
        </w:rPr>
        <w:t>odmrożeniu gospodarki</w:t>
      </w:r>
      <w:r w:rsidR="0040284B">
        <w:rPr>
          <w:rFonts w:asciiTheme="minorHAnsi" w:hAnsiTheme="minorHAnsi" w:cstheme="minorHAnsi"/>
          <w:i/>
          <w:sz w:val="22"/>
          <w:szCs w:val="22"/>
        </w:rPr>
        <w:t>, gdy</w:t>
      </w:r>
      <w:r w:rsidRPr="00990790">
        <w:rPr>
          <w:rFonts w:asciiTheme="minorHAnsi" w:hAnsiTheme="minorHAnsi" w:cstheme="minorHAnsi"/>
          <w:i/>
          <w:sz w:val="22"/>
          <w:szCs w:val="22"/>
        </w:rPr>
        <w:t xml:space="preserve"> przedsiębiorcy</w:t>
      </w:r>
      <w:r w:rsidR="00D75EFD">
        <w:rPr>
          <w:rFonts w:asciiTheme="minorHAnsi" w:hAnsiTheme="minorHAnsi" w:cstheme="minorHAnsi"/>
          <w:i/>
          <w:sz w:val="22"/>
          <w:szCs w:val="22"/>
        </w:rPr>
        <w:t xml:space="preserve"> muszą</w:t>
      </w:r>
      <w:r w:rsidR="0040284B">
        <w:rPr>
          <w:rFonts w:asciiTheme="minorHAnsi" w:hAnsiTheme="minorHAnsi" w:cstheme="minorHAnsi"/>
          <w:i/>
          <w:sz w:val="22"/>
          <w:szCs w:val="22"/>
        </w:rPr>
        <w:t xml:space="preserve"> dostosować się do nowej rzeczywistości</w:t>
      </w:r>
      <w:r w:rsidR="00D75EFD">
        <w:rPr>
          <w:rFonts w:asciiTheme="minorHAnsi" w:hAnsiTheme="minorHAnsi" w:cstheme="minorHAnsi"/>
          <w:i/>
          <w:sz w:val="22"/>
          <w:szCs w:val="22"/>
        </w:rPr>
        <w:t>,</w:t>
      </w:r>
      <w:r w:rsidRPr="00990790">
        <w:rPr>
          <w:rFonts w:asciiTheme="minorHAnsi" w:hAnsiTheme="minorHAnsi" w:cstheme="minorHAnsi"/>
          <w:i/>
          <w:sz w:val="22"/>
          <w:szCs w:val="22"/>
        </w:rPr>
        <w:t xml:space="preserve"> będą potrzebowali łatwo dostępny</w:t>
      </w:r>
      <w:r w:rsidR="00456A4A">
        <w:rPr>
          <w:rFonts w:asciiTheme="minorHAnsi" w:hAnsiTheme="minorHAnsi" w:cstheme="minorHAnsi"/>
          <w:i/>
          <w:sz w:val="22"/>
          <w:szCs w:val="22"/>
        </w:rPr>
        <w:t>ch</w:t>
      </w:r>
      <w:r w:rsidRPr="00990790">
        <w:rPr>
          <w:rFonts w:asciiTheme="minorHAnsi" w:hAnsiTheme="minorHAnsi" w:cstheme="minorHAnsi"/>
          <w:i/>
          <w:sz w:val="22"/>
          <w:szCs w:val="22"/>
        </w:rPr>
        <w:t xml:space="preserve"> źródeł finansowania na </w:t>
      </w:r>
      <w:r w:rsidR="001D27ED">
        <w:rPr>
          <w:rFonts w:asciiTheme="minorHAnsi" w:hAnsiTheme="minorHAnsi" w:cstheme="minorHAnsi"/>
          <w:i/>
          <w:sz w:val="22"/>
          <w:szCs w:val="22"/>
        </w:rPr>
        <w:t>niezbędne</w:t>
      </w:r>
      <w:r w:rsidRPr="00990790">
        <w:rPr>
          <w:rFonts w:asciiTheme="minorHAnsi" w:hAnsiTheme="minorHAnsi" w:cstheme="minorHAnsi"/>
          <w:i/>
          <w:sz w:val="22"/>
          <w:szCs w:val="22"/>
        </w:rPr>
        <w:t xml:space="preserve"> inwestycje. </w:t>
      </w:r>
      <w:r w:rsidR="00E368FE">
        <w:rPr>
          <w:rFonts w:asciiTheme="minorHAnsi" w:hAnsiTheme="minorHAnsi" w:cstheme="minorHAnsi"/>
          <w:i/>
          <w:sz w:val="22"/>
          <w:szCs w:val="22"/>
        </w:rPr>
        <w:t>Leasing, d</w:t>
      </w:r>
      <w:r w:rsidR="00371502">
        <w:rPr>
          <w:rFonts w:asciiTheme="minorHAnsi" w:hAnsiTheme="minorHAnsi" w:cstheme="minorHAnsi"/>
          <w:i/>
          <w:sz w:val="22"/>
          <w:szCs w:val="22"/>
        </w:rPr>
        <w:t>zięki swojej elastyczności</w:t>
      </w:r>
      <w:r w:rsidR="00E368FE">
        <w:rPr>
          <w:rFonts w:asciiTheme="minorHAnsi" w:hAnsiTheme="minorHAnsi" w:cstheme="minorHAnsi"/>
          <w:i/>
          <w:sz w:val="22"/>
          <w:szCs w:val="22"/>
        </w:rPr>
        <w:t>,</w:t>
      </w:r>
      <w:r w:rsidRPr="0099079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368FE">
        <w:rPr>
          <w:rFonts w:asciiTheme="minorHAnsi" w:hAnsiTheme="minorHAnsi" w:cstheme="minorHAnsi"/>
          <w:i/>
          <w:sz w:val="22"/>
          <w:szCs w:val="22"/>
        </w:rPr>
        <w:t>zapewne</w:t>
      </w:r>
      <w:r w:rsidRPr="00990790">
        <w:rPr>
          <w:rFonts w:asciiTheme="minorHAnsi" w:hAnsiTheme="minorHAnsi" w:cstheme="minorHAnsi"/>
          <w:i/>
          <w:sz w:val="22"/>
          <w:szCs w:val="22"/>
        </w:rPr>
        <w:t xml:space="preserve"> pozosta</w:t>
      </w:r>
      <w:r w:rsidR="00C075D6">
        <w:rPr>
          <w:rFonts w:asciiTheme="minorHAnsi" w:hAnsiTheme="minorHAnsi" w:cstheme="minorHAnsi"/>
          <w:i/>
          <w:sz w:val="22"/>
          <w:szCs w:val="22"/>
        </w:rPr>
        <w:t>nie</w:t>
      </w:r>
      <w:r w:rsidRPr="00990790">
        <w:rPr>
          <w:rFonts w:asciiTheme="minorHAnsi" w:hAnsiTheme="minorHAnsi" w:cstheme="minorHAnsi"/>
          <w:i/>
          <w:sz w:val="22"/>
          <w:szCs w:val="22"/>
        </w:rPr>
        <w:t xml:space="preserve"> w czołówce najchętniej wykorzystywanych przez MŚP</w:t>
      </w:r>
      <w:r w:rsidR="00C075D6">
        <w:rPr>
          <w:rFonts w:asciiTheme="minorHAnsi" w:hAnsiTheme="minorHAnsi" w:cstheme="minorHAnsi"/>
          <w:i/>
          <w:sz w:val="22"/>
          <w:szCs w:val="22"/>
        </w:rPr>
        <w:t xml:space="preserve"> form pozyskania kapitału</w:t>
      </w:r>
      <w:r>
        <w:rPr>
          <w:rFonts w:asciiTheme="minorHAnsi" w:hAnsiTheme="minorHAnsi" w:cstheme="minorHAnsi"/>
          <w:sz w:val="22"/>
          <w:szCs w:val="22"/>
        </w:rPr>
        <w:t xml:space="preserve"> – zaznacza </w:t>
      </w:r>
      <w:r w:rsidRPr="008C1FA6">
        <w:rPr>
          <w:rFonts w:asciiTheme="minorHAnsi" w:hAnsiTheme="minorHAnsi" w:cstheme="minorHAnsi"/>
          <w:b/>
          <w:sz w:val="22"/>
          <w:szCs w:val="22"/>
        </w:rPr>
        <w:t>Tomasz Kukulski</w:t>
      </w:r>
      <w:r w:rsidR="00F87455">
        <w:rPr>
          <w:rFonts w:asciiTheme="minorHAnsi" w:hAnsiTheme="minorHAnsi" w:cstheme="minorHAnsi"/>
          <w:sz w:val="22"/>
          <w:szCs w:val="22"/>
        </w:rPr>
        <w:t xml:space="preserve"> z Siemens Financial Services.</w:t>
      </w:r>
      <w:r w:rsidRPr="009907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8B7861" w14:textId="77777777" w:rsidR="00F85661" w:rsidRDefault="00F85661" w:rsidP="00B879A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13E6744" w14:textId="77777777" w:rsidR="00313960" w:rsidRDefault="00F85661" w:rsidP="009B0EAD">
      <w:pPr>
        <w:keepNext/>
        <w:spacing w:after="120"/>
        <w:jc w:val="both"/>
      </w:pPr>
      <w:r w:rsidRPr="00D85287">
        <w:rPr>
          <w:rFonts w:ascii="Century Gothic" w:hAnsi="Century Gothic"/>
          <w:noProof/>
          <w:lang w:eastAsia="pl-PL"/>
        </w:rPr>
        <w:lastRenderedPageBreak/>
        <w:drawing>
          <wp:inline distT="0" distB="0" distL="0" distR="0" wp14:anchorId="6E381479" wp14:editId="42E3E116">
            <wp:extent cx="6057900" cy="2057400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245036" w14:textId="199174B6" w:rsidR="0073555D" w:rsidRPr="009B0EAD" w:rsidRDefault="00313960" w:rsidP="009B0EAD">
      <w:pPr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7A3C">
        <w:rPr>
          <w:i/>
          <w:iCs/>
          <w:color w:val="44546A" w:themeColor="text2"/>
          <w:sz w:val="16"/>
          <w:szCs w:val="16"/>
        </w:rPr>
        <w:t>Źródło: Badanie Instyt</w:t>
      </w:r>
      <w:r w:rsidRPr="00D37965">
        <w:rPr>
          <w:i/>
          <w:iCs/>
          <w:color w:val="44546A" w:themeColor="text2"/>
          <w:sz w:val="16"/>
          <w:szCs w:val="16"/>
        </w:rPr>
        <w:t>utu Keralla Research na zlecenie Siemens Financial Services, marzec 2020</w:t>
      </w:r>
      <w:r w:rsidRPr="00634632">
        <w:rPr>
          <w:i/>
          <w:iCs/>
          <w:color w:val="44546A" w:themeColor="text2"/>
          <w:sz w:val="16"/>
          <w:szCs w:val="16"/>
        </w:rPr>
        <w:t>.</w:t>
      </w:r>
    </w:p>
    <w:p w14:paraId="369464BB" w14:textId="0C5A343F" w:rsidR="00B879AD" w:rsidRDefault="00A35E01" w:rsidP="00B879A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5232F1">
        <w:rPr>
          <w:rFonts w:asciiTheme="minorHAnsi" w:hAnsiTheme="minorHAnsi" w:cstheme="minorHAnsi"/>
          <w:sz w:val="22"/>
          <w:szCs w:val="22"/>
        </w:rPr>
        <w:t xml:space="preserve"> kredytów korzystało</w:t>
      </w:r>
      <w:r w:rsidR="00B879AD">
        <w:rPr>
          <w:rFonts w:asciiTheme="minorHAnsi" w:hAnsiTheme="minorHAnsi" w:cstheme="minorHAnsi"/>
          <w:sz w:val="22"/>
          <w:szCs w:val="22"/>
        </w:rPr>
        <w:t xml:space="preserve"> 18 proc. badanych firm</w:t>
      </w:r>
      <w:r w:rsidR="00AF58C0">
        <w:rPr>
          <w:rFonts w:asciiTheme="minorHAnsi" w:hAnsiTheme="minorHAnsi" w:cstheme="minorHAnsi"/>
          <w:sz w:val="22"/>
          <w:szCs w:val="22"/>
        </w:rPr>
        <w:t>.</w:t>
      </w:r>
      <w:r w:rsidR="00B6474E">
        <w:rPr>
          <w:rFonts w:asciiTheme="minorHAnsi" w:hAnsiTheme="minorHAnsi" w:cstheme="minorHAnsi"/>
          <w:sz w:val="22"/>
          <w:szCs w:val="22"/>
        </w:rPr>
        <w:t xml:space="preserve"> </w:t>
      </w:r>
      <w:r w:rsidR="00B879AD">
        <w:rPr>
          <w:rFonts w:asciiTheme="minorHAnsi" w:hAnsiTheme="minorHAnsi" w:cstheme="minorHAnsi"/>
          <w:sz w:val="22"/>
          <w:szCs w:val="22"/>
        </w:rPr>
        <w:t>W pewnym zakresie do finansowania maszyn i urzą</w:t>
      </w:r>
      <w:r w:rsidR="005232F1">
        <w:rPr>
          <w:rFonts w:asciiTheme="minorHAnsi" w:hAnsiTheme="minorHAnsi" w:cstheme="minorHAnsi"/>
          <w:sz w:val="22"/>
          <w:szCs w:val="22"/>
        </w:rPr>
        <w:t>dzeń przedsiębiorcy wykorzystywali</w:t>
      </w:r>
      <w:r w:rsidR="00B879AD">
        <w:rPr>
          <w:rFonts w:asciiTheme="minorHAnsi" w:hAnsiTheme="minorHAnsi" w:cstheme="minorHAnsi"/>
          <w:sz w:val="22"/>
          <w:szCs w:val="22"/>
        </w:rPr>
        <w:t xml:space="preserve"> również dotacje </w:t>
      </w:r>
      <w:r>
        <w:rPr>
          <w:rFonts w:asciiTheme="minorHAnsi" w:hAnsiTheme="minorHAnsi" w:cstheme="minorHAnsi"/>
          <w:sz w:val="22"/>
          <w:szCs w:val="22"/>
        </w:rPr>
        <w:t>– postępowało tak</w:t>
      </w:r>
      <w:r w:rsidR="00B879AD">
        <w:rPr>
          <w:rFonts w:asciiTheme="minorHAnsi" w:hAnsiTheme="minorHAnsi" w:cstheme="minorHAnsi"/>
          <w:sz w:val="22"/>
          <w:szCs w:val="22"/>
        </w:rPr>
        <w:t xml:space="preserve"> 18 proc</w:t>
      </w:r>
      <w:r>
        <w:rPr>
          <w:rFonts w:asciiTheme="minorHAnsi" w:hAnsiTheme="minorHAnsi" w:cstheme="minorHAnsi"/>
          <w:sz w:val="22"/>
          <w:szCs w:val="22"/>
        </w:rPr>
        <w:t xml:space="preserve"> z nich</w:t>
      </w:r>
      <w:r w:rsidR="00B879AD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8C45C01" w14:textId="77777777" w:rsidR="000B1164" w:rsidRPr="006805FC" w:rsidRDefault="000B1164" w:rsidP="000B116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Ostatni rok z umiarkowanymi</w:t>
      </w:r>
      <w:r w:rsidRPr="006805FC">
        <w:rPr>
          <w:rFonts w:asciiTheme="minorHAnsi" w:hAnsiTheme="minorHAnsi" w:cstheme="minorHAnsi"/>
          <w:b/>
          <w:sz w:val="22"/>
          <w:szCs w:val="22"/>
        </w:rPr>
        <w:t xml:space="preserve"> wzrostami</w:t>
      </w:r>
    </w:p>
    <w:p w14:paraId="400A60BD" w14:textId="798607BD" w:rsidR="000B1164" w:rsidRDefault="00070F1D" w:rsidP="000B116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 wynika z badania</w:t>
      </w:r>
      <w:r w:rsidR="000B1164">
        <w:rPr>
          <w:rFonts w:asciiTheme="minorHAnsi" w:hAnsiTheme="minorHAnsi" w:cstheme="minorHAnsi"/>
          <w:sz w:val="22"/>
          <w:szCs w:val="22"/>
        </w:rPr>
        <w:t xml:space="preserve"> Simens Financial Services, firmy MŚP z badanych branż na chwilę przed zamrożeniem gospodarki były w umiarkowanie stabilnej sytuacji. W porównaniu do </w:t>
      </w:r>
      <w:r w:rsidR="00FD47E6">
        <w:rPr>
          <w:rFonts w:asciiTheme="minorHAnsi" w:hAnsiTheme="minorHAnsi" w:cstheme="minorHAnsi"/>
          <w:sz w:val="22"/>
          <w:szCs w:val="22"/>
        </w:rPr>
        <w:t>ubiegłego</w:t>
      </w:r>
      <w:r w:rsidR="000B1164">
        <w:rPr>
          <w:rFonts w:asciiTheme="minorHAnsi" w:hAnsiTheme="minorHAnsi" w:cstheme="minorHAnsi"/>
          <w:sz w:val="22"/>
          <w:szCs w:val="22"/>
        </w:rPr>
        <w:t xml:space="preserve"> roku</w:t>
      </w:r>
      <w:r w:rsidR="00A35E01">
        <w:rPr>
          <w:rFonts w:asciiTheme="minorHAnsi" w:hAnsiTheme="minorHAnsi" w:cstheme="minorHAnsi"/>
          <w:sz w:val="22"/>
          <w:szCs w:val="22"/>
        </w:rPr>
        <w:t>,</w:t>
      </w:r>
      <w:r w:rsidR="000B1164">
        <w:rPr>
          <w:rFonts w:asciiTheme="minorHAnsi" w:hAnsiTheme="minorHAnsi" w:cstheme="minorHAnsi"/>
          <w:sz w:val="22"/>
          <w:szCs w:val="22"/>
        </w:rPr>
        <w:t xml:space="preserve"> 22 proc. przedsiębiorstw zwiększyło sprzedaż krajową,</w:t>
      </w:r>
      <w:r w:rsidR="00A35E01">
        <w:rPr>
          <w:rFonts w:asciiTheme="minorHAnsi" w:hAnsiTheme="minorHAnsi" w:cstheme="minorHAnsi"/>
          <w:sz w:val="22"/>
          <w:szCs w:val="22"/>
        </w:rPr>
        <w:t xml:space="preserve"> a</w:t>
      </w:r>
      <w:r w:rsidR="000B1164">
        <w:rPr>
          <w:rFonts w:asciiTheme="minorHAnsi" w:hAnsiTheme="minorHAnsi" w:cstheme="minorHAnsi"/>
          <w:sz w:val="22"/>
          <w:szCs w:val="22"/>
        </w:rPr>
        <w:t xml:space="preserve"> u</w:t>
      </w:r>
      <w:r w:rsidR="000B1164" w:rsidRPr="006805FC">
        <w:rPr>
          <w:rFonts w:asciiTheme="minorHAnsi" w:hAnsiTheme="minorHAnsi" w:cstheme="minorHAnsi"/>
          <w:sz w:val="22"/>
          <w:szCs w:val="22"/>
        </w:rPr>
        <w:t xml:space="preserve"> 52,8 proc. pozostała ona bez zmi</w:t>
      </w:r>
      <w:r w:rsidR="000B1164">
        <w:rPr>
          <w:rFonts w:asciiTheme="minorHAnsi" w:hAnsiTheme="minorHAnsi" w:cstheme="minorHAnsi"/>
          <w:sz w:val="22"/>
          <w:szCs w:val="22"/>
        </w:rPr>
        <w:t>an. Do spadku</w:t>
      </w:r>
      <w:r w:rsidR="000B1164" w:rsidRPr="006805FC">
        <w:rPr>
          <w:rFonts w:asciiTheme="minorHAnsi" w:hAnsiTheme="minorHAnsi" w:cstheme="minorHAnsi"/>
          <w:sz w:val="22"/>
          <w:szCs w:val="22"/>
        </w:rPr>
        <w:t xml:space="preserve"> przyznał</w:t>
      </w:r>
      <w:r w:rsidR="000B1164">
        <w:rPr>
          <w:rFonts w:asciiTheme="minorHAnsi" w:hAnsiTheme="minorHAnsi" w:cstheme="minorHAnsi"/>
          <w:sz w:val="22"/>
          <w:szCs w:val="22"/>
        </w:rPr>
        <w:t>o się 18,8 proc. W </w:t>
      </w:r>
      <w:r w:rsidR="000B1164" w:rsidRPr="006805FC">
        <w:rPr>
          <w:rFonts w:asciiTheme="minorHAnsi" w:hAnsiTheme="minorHAnsi" w:cstheme="minorHAnsi"/>
          <w:sz w:val="22"/>
          <w:szCs w:val="22"/>
        </w:rPr>
        <w:t>przypadku sprzedaży towarów partnerom</w:t>
      </w:r>
      <w:r w:rsidR="000B1164">
        <w:rPr>
          <w:rFonts w:asciiTheme="minorHAnsi" w:hAnsiTheme="minorHAnsi" w:cstheme="minorHAnsi"/>
          <w:sz w:val="22"/>
          <w:szCs w:val="22"/>
        </w:rPr>
        <w:t xml:space="preserve"> zagranicznym</w:t>
      </w:r>
      <w:r w:rsidR="000B1164" w:rsidRPr="006805FC">
        <w:rPr>
          <w:rFonts w:asciiTheme="minorHAnsi" w:hAnsiTheme="minorHAnsi" w:cstheme="minorHAnsi"/>
          <w:sz w:val="22"/>
          <w:szCs w:val="22"/>
        </w:rPr>
        <w:t xml:space="preserve"> sytuacja wygląda nieco lepie</w:t>
      </w:r>
      <w:r w:rsidR="000B1164">
        <w:rPr>
          <w:rFonts w:asciiTheme="minorHAnsi" w:hAnsiTheme="minorHAnsi" w:cstheme="minorHAnsi"/>
          <w:sz w:val="22"/>
          <w:szCs w:val="22"/>
        </w:rPr>
        <w:t>j</w:t>
      </w:r>
      <w:r w:rsidR="00A35E01">
        <w:rPr>
          <w:rFonts w:asciiTheme="minorHAnsi" w:hAnsiTheme="minorHAnsi" w:cstheme="minorHAnsi"/>
          <w:sz w:val="22"/>
          <w:szCs w:val="22"/>
        </w:rPr>
        <w:t xml:space="preserve"> –w</w:t>
      </w:r>
      <w:r w:rsidR="001D27ED">
        <w:rPr>
          <w:rFonts w:asciiTheme="minorHAnsi" w:hAnsiTheme="minorHAnsi" w:cstheme="minorHAnsi"/>
          <w:sz w:val="22"/>
          <w:szCs w:val="22"/>
        </w:rPr>
        <w:t> </w:t>
      </w:r>
      <w:r w:rsidR="000B1164">
        <w:rPr>
          <w:rFonts w:asciiTheme="minorHAnsi" w:hAnsiTheme="minorHAnsi" w:cstheme="minorHAnsi"/>
          <w:sz w:val="22"/>
          <w:szCs w:val="22"/>
        </w:rPr>
        <w:t>ciągu ostatnich 12 miesięcy</w:t>
      </w:r>
      <w:r w:rsidR="000B1164" w:rsidRPr="006805FC">
        <w:rPr>
          <w:rFonts w:asciiTheme="minorHAnsi" w:hAnsiTheme="minorHAnsi" w:cstheme="minorHAnsi"/>
          <w:sz w:val="22"/>
          <w:szCs w:val="22"/>
        </w:rPr>
        <w:t xml:space="preserve"> </w:t>
      </w:r>
      <w:r w:rsidR="000B1164" w:rsidRPr="00F87455">
        <w:rPr>
          <w:rFonts w:asciiTheme="minorHAnsi" w:hAnsiTheme="minorHAnsi" w:cstheme="minorHAnsi"/>
          <w:sz w:val="22"/>
          <w:szCs w:val="22"/>
        </w:rPr>
        <w:t>eksport</w:t>
      </w:r>
      <w:r w:rsidR="000B1164" w:rsidRPr="006805FC">
        <w:rPr>
          <w:rFonts w:asciiTheme="minorHAnsi" w:hAnsiTheme="minorHAnsi" w:cstheme="minorHAnsi"/>
          <w:sz w:val="22"/>
          <w:szCs w:val="22"/>
        </w:rPr>
        <w:t xml:space="preserve"> zwiększył blisko co czwarty przedsiębiorca (23,9 proc.)</w:t>
      </w:r>
      <w:r w:rsidR="0039775C">
        <w:rPr>
          <w:rFonts w:asciiTheme="minorHAnsi" w:hAnsiTheme="minorHAnsi" w:cstheme="minorHAnsi"/>
          <w:sz w:val="22"/>
          <w:szCs w:val="22"/>
        </w:rPr>
        <w:t>.</w:t>
      </w:r>
      <w:r w:rsidR="000B1164" w:rsidRPr="006805FC">
        <w:rPr>
          <w:rFonts w:asciiTheme="minorHAnsi" w:hAnsiTheme="minorHAnsi" w:cstheme="minorHAnsi"/>
          <w:sz w:val="22"/>
          <w:szCs w:val="22"/>
        </w:rPr>
        <w:t xml:space="preserve"> Spadek</w:t>
      </w:r>
      <w:r w:rsidR="000B1164">
        <w:rPr>
          <w:rFonts w:asciiTheme="minorHAnsi" w:hAnsiTheme="minorHAnsi" w:cstheme="minorHAnsi"/>
          <w:sz w:val="22"/>
          <w:szCs w:val="22"/>
        </w:rPr>
        <w:t xml:space="preserve"> zanotowało 13,7 proc. firm, a</w:t>
      </w:r>
      <w:r w:rsidR="000B1164" w:rsidRPr="006805FC">
        <w:rPr>
          <w:rFonts w:asciiTheme="minorHAnsi" w:hAnsiTheme="minorHAnsi" w:cstheme="minorHAnsi"/>
          <w:sz w:val="22"/>
          <w:szCs w:val="22"/>
        </w:rPr>
        <w:t xml:space="preserve"> 51,3 proc. utrzymało </w:t>
      </w:r>
      <w:r w:rsidR="000B1164" w:rsidRPr="00F87455">
        <w:rPr>
          <w:rFonts w:asciiTheme="minorHAnsi" w:hAnsiTheme="minorHAnsi" w:cstheme="minorHAnsi"/>
          <w:sz w:val="22"/>
          <w:szCs w:val="22"/>
        </w:rPr>
        <w:t>eksport</w:t>
      </w:r>
      <w:r w:rsidR="000B1164">
        <w:rPr>
          <w:rFonts w:asciiTheme="minorHAnsi" w:hAnsiTheme="minorHAnsi" w:cstheme="minorHAnsi"/>
          <w:sz w:val="22"/>
          <w:szCs w:val="22"/>
        </w:rPr>
        <w:t xml:space="preserve"> na</w:t>
      </w:r>
      <w:r w:rsidR="009C2FB0">
        <w:rPr>
          <w:rFonts w:asciiTheme="minorHAnsi" w:hAnsiTheme="minorHAnsi" w:cstheme="minorHAnsi"/>
          <w:sz w:val="22"/>
          <w:szCs w:val="22"/>
        </w:rPr>
        <w:t xml:space="preserve"> tym samym poziomie. Dodatkowo,</w:t>
      </w:r>
      <w:r w:rsidR="000B1164" w:rsidRPr="006805FC">
        <w:rPr>
          <w:rFonts w:asciiTheme="minorHAnsi" w:hAnsiTheme="minorHAnsi" w:cstheme="minorHAnsi"/>
          <w:sz w:val="22"/>
          <w:szCs w:val="22"/>
        </w:rPr>
        <w:t xml:space="preserve"> co </w:t>
      </w:r>
      <w:r w:rsidR="005232F1">
        <w:rPr>
          <w:rFonts w:asciiTheme="minorHAnsi" w:hAnsiTheme="minorHAnsi" w:cstheme="minorHAnsi"/>
          <w:sz w:val="22"/>
          <w:szCs w:val="22"/>
        </w:rPr>
        <w:t>czwarty przedsiębiorca informował</w:t>
      </w:r>
      <w:r w:rsidR="000B1164" w:rsidRPr="006805FC">
        <w:rPr>
          <w:rFonts w:asciiTheme="minorHAnsi" w:hAnsiTheme="minorHAnsi" w:cstheme="minorHAnsi"/>
          <w:sz w:val="22"/>
          <w:szCs w:val="22"/>
        </w:rPr>
        <w:t xml:space="preserve"> także o zwiększonej ekspansji</w:t>
      </w:r>
      <w:r w:rsidR="000B1164">
        <w:rPr>
          <w:rFonts w:asciiTheme="minorHAnsi" w:hAnsiTheme="minorHAnsi" w:cstheme="minorHAnsi"/>
          <w:sz w:val="22"/>
          <w:szCs w:val="22"/>
        </w:rPr>
        <w:t xml:space="preserve"> na nowe rynki zbytu.</w:t>
      </w:r>
      <w:r w:rsidR="000B1164" w:rsidRPr="006805FC">
        <w:rPr>
          <w:rFonts w:asciiTheme="minorHAnsi" w:hAnsiTheme="minorHAnsi" w:cstheme="minorHAnsi"/>
          <w:sz w:val="22"/>
          <w:szCs w:val="22"/>
        </w:rPr>
        <w:t xml:space="preserve"> Spadek zanotował</w:t>
      </w:r>
      <w:r w:rsidR="000B1164">
        <w:rPr>
          <w:rFonts w:asciiTheme="minorHAnsi" w:hAnsiTheme="minorHAnsi" w:cstheme="minorHAnsi"/>
          <w:sz w:val="22"/>
          <w:szCs w:val="22"/>
        </w:rPr>
        <w:t>o</w:t>
      </w:r>
      <w:r w:rsidR="000B1164" w:rsidRPr="006805FC">
        <w:rPr>
          <w:rFonts w:asciiTheme="minorHAnsi" w:hAnsiTheme="minorHAnsi" w:cstheme="minorHAnsi"/>
          <w:sz w:val="22"/>
          <w:szCs w:val="22"/>
        </w:rPr>
        <w:t xml:space="preserve"> 9 proc. badanych firm.</w:t>
      </w:r>
    </w:p>
    <w:p w14:paraId="1059135D" w14:textId="77777777" w:rsidR="00313960" w:rsidRDefault="000B1164" w:rsidP="009B0EAD">
      <w:pPr>
        <w:keepNext/>
        <w:spacing w:after="120"/>
        <w:jc w:val="both"/>
      </w:pPr>
      <w:r w:rsidRPr="009B65F5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7000E494" wp14:editId="11E03B21">
            <wp:extent cx="6115050" cy="1619250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3092CFE" w14:textId="0F82437C" w:rsidR="00871394" w:rsidRDefault="00313960" w:rsidP="000B00AF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B0EAD">
        <w:rPr>
          <w:i/>
          <w:iCs/>
          <w:color w:val="44546A" w:themeColor="text2"/>
          <w:sz w:val="16"/>
          <w:szCs w:val="16"/>
        </w:rPr>
        <w:t>Źródło: Badanie Instytutu Keralla Research na zlecenie Siemens Financial Services, marzec 2020.</w:t>
      </w:r>
    </w:p>
    <w:p w14:paraId="15213900" w14:textId="21D0D1B1" w:rsidR="00B879AD" w:rsidRPr="002F4F02" w:rsidRDefault="002F4F02" w:rsidP="000B00AF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Firmy dywersyfikujące źródła finansowanie w lepszej kondycji i</w:t>
      </w:r>
      <w:r w:rsidR="00A35E01">
        <w:rPr>
          <w:rFonts w:asciiTheme="minorHAnsi" w:hAnsiTheme="minorHAnsi" w:cstheme="minorHAnsi"/>
          <w:b/>
          <w:sz w:val="22"/>
          <w:szCs w:val="22"/>
        </w:rPr>
        <w:t xml:space="preserve"> z</w:t>
      </w:r>
      <w:r>
        <w:rPr>
          <w:rFonts w:asciiTheme="minorHAnsi" w:hAnsiTheme="minorHAnsi" w:cstheme="minorHAnsi"/>
          <w:b/>
          <w:sz w:val="22"/>
          <w:szCs w:val="22"/>
        </w:rPr>
        <w:t xml:space="preserve"> większą automatyzacją</w:t>
      </w:r>
    </w:p>
    <w:p w14:paraId="234F5EC1" w14:textId="1363B8A0" w:rsidR="002F4F02" w:rsidRDefault="00E63E03" w:rsidP="000B00AF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Analizując wyniki</w:t>
      </w:r>
      <w:r w:rsidR="006D2186">
        <w:rPr>
          <w:rFonts w:asciiTheme="minorHAnsi" w:hAnsiTheme="minorHAnsi" w:cstheme="minorHAnsi"/>
          <w:sz w:val="22"/>
          <w:szCs w:val="22"/>
        </w:rPr>
        <w:t xml:space="preserve"> badania Siemens Financial Services</w:t>
      </w:r>
      <w:r>
        <w:rPr>
          <w:rFonts w:asciiTheme="minorHAnsi" w:hAnsiTheme="minorHAnsi" w:cstheme="minorHAnsi"/>
          <w:sz w:val="22"/>
          <w:szCs w:val="22"/>
        </w:rPr>
        <w:t xml:space="preserve"> wid</w:t>
      </w:r>
      <w:r w:rsidR="00BC1CA9">
        <w:rPr>
          <w:rFonts w:asciiTheme="minorHAnsi" w:hAnsiTheme="minorHAnsi" w:cstheme="minorHAnsi"/>
          <w:sz w:val="22"/>
          <w:szCs w:val="22"/>
        </w:rPr>
        <w:t xml:space="preserve">ać, że </w:t>
      </w:r>
      <w:r w:rsidR="00CF7780">
        <w:rPr>
          <w:rFonts w:asciiTheme="minorHAnsi" w:hAnsiTheme="minorHAnsi" w:cstheme="minorHAnsi"/>
          <w:sz w:val="22"/>
          <w:szCs w:val="22"/>
        </w:rPr>
        <w:t xml:space="preserve">przed epidemią </w:t>
      </w:r>
      <w:r w:rsidR="00BC1CA9">
        <w:rPr>
          <w:rFonts w:asciiTheme="minorHAnsi" w:hAnsiTheme="minorHAnsi" w:cstheme="minorHAnsi"/>
          <w:sz w:val="22"/>
          <w:szCs w:val="22"/>
        </w:rPr>
        <w:t>przedsiębiorstwa korzyst</w:t>
      </w:r>
      <w:r w:rsidR="00E41E37">
        <w:rPr>
          <w:rFonts w:asciiTheme="minorHAnsi" w:hAnsiTheme="minorHAnsi" w:cstheme="minorHAnsi"/>
          <w:sz w:val="22"/>
          <w:szCs w:val="22"/>
        </w:rPr>
        <w:t>ające</w:t>
      </w:r>
      <w:r w:rsidR="006D2186">
        <w:rPr>
          <w:rFonts w:asciiTheme="minorHAnsi" w:hAnsiTheme="minorHAnsi" w:cstheme="minorHAnsi"/>
          <w:sz w:val="22"/>
          <w:szCs w:val="22"/>
        </w:rPr>
        <w:t xml:space="preserve"> z</w:t>
      </w:r>
      <w:r w:rsidR="00E41E37">
        <w:rPr>
          <w:rFonts w:asciiTheme="minorHAnsi" w:hAnsiTheme="minorHAnsi" w:cstheme="minorHAnsi"/>
          <w:sz w:val="22"/>
          <w:szCs w:val="22"/>
        </w:rPr>
        <w:t xml:space="preserve"> finansowani</w:t>
      </w:r>
      <w:r w:rsidR="00CF7780">
        <w:rPr>
          <w:rFonts w:asciiTheme="minorHAnsi" w:hAnsiTheme="minorHAnsi" w:cstheme="minorHAnsi"/>
          <w:sz w:val="22"/>
          <w:szCs w:val="22"/>
        </w:rPr>
        <w:t>a</w:t>
      </w:r>
      <w:r w:rsidR="00E41E37">
        <w:rPr>
          <w:rFonts w:asciiTheme="minorHAnsi" w:hAnsiTheme="minorHAnsi" w:cstheme="minorHAnsi"/>
          <w:sz w:val="22"/>
          <w:szCs w:val="22"/>
        </w:rPr>
        <w:t xml:space="preserve"> zewnętrzne</w:t>
      </w:r>
      <w:r w:rsidR="00A35E01">
        <w:rPr>
          <w:rFonts w:asciiTheme="minorHAnsi" w:hAnsiTheme="minorHAnsi" w:cstheme="minorHAnsi"/>
          <w:sz w:val="22"/>
          <w:szCs w:val="22"/>
        </w:rPr>
        <w:t>go</w:t>
      </w:r>
      <w:r w:rsidR="00E41E37">
        <w:rPr>
          <w:rFonts w:asciiTheme="minorHAnsi" w:hAnsiTheme="minorHAnsi" w:cstheme="minorHAnsi"/>
          <w:sz w:val="22"/>
          <w:szCs w:val="22"/>
        </w:rPr>
        <w:t xml:space="preserve"> były</w:t>
      </w:r>
      <w:r w:rsidR="00BC1CA9">
        <w:rPr>
          <w:rFonts w:asciiTheme="minorHAnsi" w:hAnsiTheme="minorHAnsi" w:cstheme="minorHAnsi"/>
          <w:sz w:val="22"/>
          <w:szCs w:val="22"/>
        </w:rPr>
        <w:t xml:space="preserve"> w lepszej sytuacji niż te, które wykorzystywały wyłącznie środki własne. W</w:t>
      </w:r>
      <w:r w:rsidR="00D37965">
        <w:rPr>
          <w:rFonts w:asciiTheme="minorHAnsi" w:hAnsiTheme="minorHAnsi" w:cstheme="minorHAnsi"/>
          <w:sz w:val="22"/>
          <w:szCs w:val="22"/>
        </w:rPr>
        <w:t> </w:t>
      </w:r>
      <w:r w:rsidR="00BC1CA9">
        <w:rPr>
          <w:rFonts w:asciiTheme="minorHAnsi" w:hAnsiTheme="minorHAnsi" w:cstheme="minorHAnsi"/>
          <w:sz w:val="22"/>
          <w:szCs w:val="22"/>
        </w:rPr>
        <w:t xml:space="preserve">porównaniu do </w:t>
      </w:r>
      <w:r w:rsidR="00FD47E6">
        <w:rPr>
          <w:rFonts w:asciiTheme="minorHAnsi" w:hAnsiTheme="minorHAnsi" w:cstheme="minorHAnsi"/>
          <w:sz w:val="22"/>
          <w:szCs w:val="22"/>
        </w:rPr>
        <w:t>poprzedniego</w:t>
      </w:r>
      <w:r w:rsidR="00BC1CA9">
        <w:rPr>
          <w:rFonts w:asciiTheme="minorHAnsi" w:hAnsiTheme="minorHAnsi" w:cstheme="minorHAnsi"/>
          <w:sz w:val="22"/>
          <w:szCs w:val="22"/>
        </w:rPr>
        <w:t xml:space="preserve"> roku</w:t>
      </w:r>
      <w:r w:rsidR="00A35E01">
        <w:rPr>
          <w:rFonts w:asciiTheme="minorHAnsi" w:hAnsiTheme="minorHAnsi" w:cstheme="minorHAnsi"/>
          <w:sz w:val="22"/>
          <w:szCs w:val="22"/>
        </w:rPr>
        <w:t>,</w:t>
      </w:r>
      <w:r w:rsidR="00BC1CA9">
        <w:rPr>
          <w:rFonts w:asciiTheme="minorHAnsi" w:hAnsiTheme="minorHAnsi" w:cstheme="minorHAnsi"/>
          <w:sz w:val="22"/>
          <w:szCs w:val="22"/>
        </w:rPr>
        <w:t xml:space="preserve"> firmy dywersyfikujące</w:t>
      </w:r>
      <w:r w:rsidR="00E41E37">
        <w:rPr>
          <w:rFonts w:asciiTheme="minorHAnsi" w:hAnsiTheme="minorHAnsi" w:cstheme="minorHAnsi"/>
          <w:sz w:val="22"/>
          <w:szCs w:val="22"/>
        </w:rPr>
        <w:t xml:space="preserve"> źródła finansowania</w:t>
      </w:r>
      <w:r w:rsidR="00BC1CA9">
        <w:rPr>
          <w:rFonts w:asciiTheme="minorHAnsi" w:hAnsiTheme="minorHAnsi" w:cstheme="minorHAnsi"/>
          <w:sz w:val="22"/>
          <w:szCs w:val="22"/>
        </w:rPr>
        <w:t xml:space="preserve"> zwiększyły </w:t>
      </w:r>
      <w:r w:rsidR="00F87455">
        <w:rPr>
          <w:rFonts w:asciiTheme="minorHAnsi" w:hAnsiTheme="minorHAnsi" w:cstheme="minorHAnsi"/>
          <w:sz w:val="22"/>
          <w:szCs w:val="22"/>
        </w:rPr>
        <w:t>sprzedaż krajow</w:t>
      </w:r>
      <w:r w:rsidR="00CF7780">
        <w:rPr>
          <w:rFonts w:asciiTheme="minorHAnsi" w:hAnsiTheme="minorHAnsi" w:cstheme="minorHAnsi"/>
          <w:sz w:val="22"/>
          <w:szCs w:val="22"/>
        </w:rPr>
        <w:t>ą</w:t>
      </w:r>
      <w:r w:rsidR="00F87455">
        <w:rPr>
          <w:rFonts w:asciiTheme="minorHAnsi" w:hAnsiTheme="minorHAnsi" w:cstheme="minorHAnsi"/>
          <w:sz w:val="22"/>
          <w:szCs w:val="22"/>
        </w:rPr>
        <w:t xml:space="preserve"> o 32,2 proc. i </w:t>
      </w:r>
      <w:r w:rsidR="00BC1CA9">
        <w:rPr>
          <w:rFonts w:asciiTheme="minorHAnsi" w:hAnsiTheme="minorHAnsi" w:cstheme="minorHAnsi"/>
          <w:sz w:val="22"/>
          <w:szCs w:val="22"/>
        </w:rPr>
        <w:t>eksport o 21,7 proc.</w:t>
      </w:r>
      <w:r w:rsidR="008A3E5B">
        <w:rPr>
          <w:rFonts w:asciiTheme="minorHAnsi" w:hAnsiTheme="minorHAnsi" w:cstheme="minorHAnsi"/>
          <w:sz w:val="22"/>
          <w:szCs w:val="22"/>
        </w:rPr>
        <w:t xml:space="preserve"> Natomiast 38,8 proc. uważa</w:t>
      </w:r>
      <w:r w:rsidR="00361C55">
        <w:rPr>
          <w:rFonts w:asciiTheme="minorHAnsi" w:hAnsiTheme="minorHAnsi" w:cstheme="minorHAnsi"/>
          <w:sz w:val="22"/>
          <w:szCs w:val="22"/>
        </w:rPr>
        <w:t>ł</w:t>
      </w:r>
      <w:r w:rsidR="00A35E01">
        <w:rPr>
          <w:rFonts w:asciiTheme="minorHAnsi" w:hAnsiTheme="minorHAnsi" w:cstheme="minorHAnsi"/>
          <w:sz w:val="22"/>
          <w:szCs w:val="22"/>
        </w:rPr>
        <w:t>o</w:t>
      </w:r>
      <w:r w:rsidR="008A3E5B">
        <w:rPr>
          <w:rFonts w:asciiTheme="minorHAnsi" w:hAnsiTheme="minorHAnsi" w:cstheme="minorHAnsi"/>
          <w:sz w:val="22"/>
          <w:szCs w:val="22"/>
        </w:rPr>
        <w:t>, że ich zdolność do konkurowani</w:t>
      </w:r>
      <w:r w:rsidR="00CF7780">
        <w:rPr>
          <w:rFonts w:asciiTheme="minorHAnsi" w:hAnsiTheme="minorHAnsi" w:cstheme="minorHAnsi"/>
          <w:sz w:val="22"/>
          <w:szCs w:val="22"/>
        </w:rPr>
        <w:t>a</w:t>
      </w:r>
      <w:r w:rsidR="008A3E5B">
        <w:rPr>
          <w:rFonts w:asciiTheme="minorHAnsi" w:hAnsiTheme="minorHAnsi" w:cstheme="minorHAnsi"/>
          <w:sz w:val="22"/>
          <w:szCs w:val="22"/>
        </w:rPr>
        <w:t xml:space="preserve"> poprawiła się. </w:t>
      </w:r>
      <w:r w:rsidR="00BC1CA9">
        <w:rPr>
          <w:rFonts w:asciiTheme="minorHAnsi" w:hAnsiTheme="minorHAnsi" w:cstheme="minorHAnsi"/>
          <w:sz w:val="22"/>
          <w:szCs w:val="22"/>
        </w:rPr>
        <w:t>Przedsiębiorstwa polegające wyłącznie na środkach własnych odnotowały</w:t>
      </w:r>
      <w:r w:rsidR="008A3E5B">
        <w:rPr>
          <w:rFonts w:asciiTheme="minorHAnsi" w:hAnsiTheme="minorHAnsi" w:cstheme="minorHAnsi"/>
          <w:sz w:val="22"/>
          <w:szCs w:val="22"/>
        </w:rPr>
        <w:t xml:space="preserve"> wynik</w:t>
      </w:r>
      <w:r w:rsidR="00E14092">
        <w:rPr>
          <w:rFonts w:asciiTheme="minorHAnsi" w:hAnsiTheme="minorHAnsi" w:cstheme="minorHAnsi"/>
          <w:sz w:val="22"/>
          <w:szCs w:val="22"/>
        </w:rPr>
        <w:t>i</w:t>
      </w:r>
      <w:r w:rsidR="008A3E5B">
        <w:rPr>
          <w:rFonts w:asciiTheme="minorHAnsi" w:hAnsiTheme="minorHAnsi" w:cstheme="minorHAnsi"/>
          <w:sz w:val="22"/>
          <w:szCs w:val="22"/>
        </w:rPr>
        <w:t xml:space="preserve"> analogicznie</w:t>
      </w:r>
      <w:r w:rsidR="00361C55">
        <w:rPr>
          <w:rFonts w:asciiTheme="minorHAnsi" w:hAnsiTheme="minorHAnsi" w:cstheme="minorHAnsi"/>
          <w:sz w:val="22"/>
          <w:szCs w:val="22"/>
        </w:rPr>
        <w:t>:</w:t>
      </w:r>
      <w:r w:rsidR="008A3E5B">
        <w:rPr>
          <w:rFonts w:asciiTheme="minorHAnsi" w:hAnsiTheme="minorHAnsi" w:cstheme="minorHAnsi"/>
          <w:sz w:val="22"/>
          <w:szCs w:val="22"/>
        </w:rPr>
        <w:t xml:space="preserve"> 16,9 proc.,</w:t>
      </w:r>
      <w:r w:rsidR="00BC1CA9">
        <w:rPr>
          <w:rFonts w:asciiTheme="minorHAnsi" w:hAnsiTheme="minorHAnsi" w:cstheme="minorHAnsi"/>
          <w:sz w:val="22"/>
          <w:szCs w:val="22"/>
        </w:rPr>
        <w:t xml:space="preserve"> 8,9 proc.</w:t>
      </w:r>
      <w:r w:rsidR="008A3E5B">
        <w:rPr>
          <w:rFonts w:asciiTheme="minorHAnsi" w:hAnsiTheme="minorHAnsi" w:cstheme="minorHAnsi"/>
          <w:sz w:val="22"/>
          <w:szCs w:val="22"/>
        </w:rPr>
        <w:t xml:space="preserve"> i 16,1 proc.</w:t>
      </w:r>
    </w:p>
    <w:p w14:paraId="6BF23F0B" w14:textId="73AE9E06" w:rsidR="00871394" w:rsidRDefault="00283A4A" w:rsidP="009B0EAD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Podobnie </w:t>
      </w:r>
      <w:r w:rsidR="00CF7780">
        <w:rPr>
          <w:rFonts w:asciiTheme="minorHAnsi" w:hAnsiTheme="minorHAnsi" w:cstheme="minorHAnsi"/>
          <w:sz w:val="22"/>
          <w:szCs w:val="22"/>
        </w:rPr>
        <w:t xml:space="preserve">było </w:t>
      </w:r>
      <w:r>
        <w:rPr>
          <w:rFonts w:asciiTheme="minorHAnsi" w:hAnsiTheme="minorHAnsi" w:cstheme="minorHAnsi"/>
          <w:sz w:val="22"/>
          <w:szCs w:val="22"/>
        </w:rPr>
        <w:t>w przypadku automatyzacji procesów produkcji. 40,8 proc. f</w:t>
      </w:r>
      <w:r w:rsidR="006D2186">
        <w:rPr>
          <w:rFonts w:asciiTheme="minorHAnsi" w:hAnsiTheme="minorHAnsi" w:cstheme="minorHAnsi"/>
          <w:sz w:val="22"/>
          <w:szCs w:val="22"/>
        </w:rPr>
        <w:t>irm</w:t>
      </w:r>
      <w:r>
        <w:rPr>
          <w:rFonts w:asciiTheme="minorHAnsi" w:hAnsiTheme="minorHAnsi" w:cstheme="minorHAnsi"/>
          <w:sz w:val="22"/>
          <w:szCs w:val="22"/>
        </w:rPr>
        <w:t xml:space="preserve"> dywersyfik</w:t>
      </w:r>
      <w:r w:rsidR="00150737">
        <w:rPr>
          <w:rFonts w:asciiTheme="minorHAnsi" w:hAnsiTheme="minorHAnsi" w:cstheme="minorHAnsi"/>
          <w:sz w:val="22"/>
          <w:szCs w:val="22"/>
        </w:rPr>
        <w:t>ujących</w:t>
      </w:r>
      <w:r>
        <w:rPr>
          <w:rFonts w:asciiTheme="minorHAnsi" w:hAnsiTheme="minorHAnsi" w:cstheme="minorHAnsi"/>
          <w:sz w:val="22"/>
          <w:szCs w:val="22"/>
        </w:rPr>
        <w:t xml:space="preserve"> źr</w:t>
      </w:r>
      <w:r w:rsidR="00150737">
        <w:rPr>
          <w:rFonts w:asciiTheme="minorHAnsi" w:hAnsiTheme="minorHAnsi" w:cstheme="minorHAnsi"/>
          <w:sz w:val="22"/>
          <w:szCs w:val="22"/>
        </w:rPr>
        <w:t>ódła finansowania zwiększył</w:t>
      </w:r>
      <w:r w:rsidR="00CF7780">
        <w:rPr>
          <w:rFonts w:asciiTheme="minorHAnsi" w:hAnsiTheme="minorHAnsi" w:cstheme="minorHAnsi"/>
          <w:sz w:val="22"/>
          <w:szCs w:val="22"/>
        </w:rPr>
        <w:t>o</w:t>
      </w:r>
      <w:r w:rsidR="00150737">
        <w:rPr>
          <w:rFonts w:asciiTheme="minorHAnsi" w:hAnsiTheme="minorHAnsi" w:cstheme="minorHAnsi"/>
          <w:sz w:val="22"/>
          <w:szCs w:val="22"/>
        </w:rPr>
        <w:t xml:space="preserve"> jej poziom względem </w:t>
      </w:r>
      <w:r w:rsidR="00FD47E6">
        <w:rPr>
          <w:rFonts w:asciiTheme="minorHAnsi" w:hAnsiTheme="minorHAnsi" w:cstheme="minorHAnsi"/>
          <w:sz w:val="22"/>
          <w:szCs w:val="22"/>
        </w:rPr>
        <w:t>ubiegłego</w:t>
      </w:r>
      <w:r w:rsidR="00150737">
        <w:rPr>
          <w:rFonts w:asciiTheme="minorHAnsi" w:hAnsiTheme="minorHAnsi" w:cstheme="minorHAnsi"/>
          <w:sz w:val="22"/>
          <w:szCs w:val="22"/>
        </w:rPr>
        <w:t xml:space="preserve"> roku, a w przyszłości planowało to </w:t>
      </w:r>
      <w:r w:rsidR="00E41E37">
        <w:rPr>
          <w:rFonts w:asciiTheme="minorHAnsi" w:hAnsiTheme="minorHAnsi" w:cstheme="minorHAnsi"/>
          <w:sz w:val="22"/>
          <w:szCs w:val="22"/>
        </w:rPr>
        <w:t>zrobić 48 proc. W</w:t>
      </w:r>
      <w:r w:rsidR="00150737">
        <w:rPr>
          <w:rFonts w:asciiTheme="minorHAnsi" w:hAnsiTheme="minorHAnsi" w:cstheme="minorHAnsi"/>
          <w:sz w:val="22"/>
          <w:szCs w:val="22"/>
        </w:rPr>
        <w:t>śr</w:t>
      </w:r>
      <w:r w:rsidR="006D7D3A">
        <w:rPr>
          <w:rFonts w:asciiTheme="minorHAnsi" w:hAnsiTheme="minorHAnsi" w:cstheme="minorHAnsi"/>
          <w:sz w:val="22"/>
          <w:szCs w:val="22"/>
        </w:rPr>
        <w:t>ód przedsiębiorstw</w:t>
      </w:r>
      <w:r w:rsidR="00150737">
        <w:rPr>
          <w:rFonts w:asciiTheme="minorHAnsi" w:hAnsiTheme="minorHAnsi" w:cstheme="minorHAnsi"/>
          <w:sz w:val="22"/>
          <w:szCs w:val="22"/>
        </w:rPr>
        <w:t xml:space="preserve"> korzystających tylko z wypracowanych zysków było to </w:t>
      </w:r>
      <w:r w:rsidR="00605E4B">
        <w:rPr>
          <w:rFonts w:asciiTheme="minorHAnsi" w:hAnsiTheme="minorHAnsi" w:cstheme="minorHAnsi"/>
          <w:sz w:val="22"/>
          <w:szCs w:val="22"/>
        </w:rPr>
        <w:t>24,2</w:t>
      </w:r>
      <w:r w:rsidR="00D1438A">
        <w:rPr>
          <w:rFonts w:asciiTheme="minorHAnsi" w:hAnsiTheme="minorHAnsi" w:cstheme="minorHAnsi"/>
          <w:sz w:val="22"/>
          <w:szCs w:val="22"/>
        </w:rPr>
        <w:t xml:space="preserve"> proc.</w:t>
      </w:r>
      <w:r w:rsidR="00605E4B">
        <w:rPr>
          <w:rFonts w:asciiTheme="minorHAnsi" w:hAnsiTheme="minorHAnsi" w:cstheme="minorHAnsi"/>
          <w:sz w:val="22"/>
          <w:szCs w:val="22"/>
        </w:rPr>
        <w:t xml:space="preserve"> i 37,1 proc. </w:t>
      </w:r>
      <w:r w:rsidR="006D2186">
        <w:rPr>
          <w:rFonts w:asciiTheme="minorHAnsi" w:hAnsiTheme="minorHAnsi" w:cstheme="minorHAnsi"/>
          <w:sz w:val="22"/>
          <w:szCs w:val="22"/>
        </w:rPr>
        <w:t>F</w:t>
      </w:r>
      <w:r w:rsidR="006D7D3A">
        <w:rPr>
          <w:rFonts w:asciiTheme="minorHAnsi" w:hAnsiTheme="minorHAnsi" w:cstheme="minorHAnsi"/>
          <w:sz w:val="22"/>
          <w:szCs w:val="22"/>
        </w:rPr>
        <w:t xml:space="preserve">irmy korzystające ze środków zewnętrznych częściej </w:t>
      </w:r>
      <w:r w:rsidR="006D2186">
        <w:rPr>
          <w:rFonts w:asciiTheme="minorHAnsi" w:hAnsiTheme="minorHAnsi" w:cstheme="minorHAnsi"/>
          <w:sz w:val="22"/>
          <w:szCs w:val="22"/>
        </w:rPr>
        <w:t xml:space="preserve">także </w:t>
      </w:r>
      <w:r w:rsidR="006D7D3A">
        <w:rPr>
          <w:rFonts w:asciiTheme="minorHAnsi" w:hAnsiTheme="minorHAnsi" w:cstheme="minorHAnsi"/>
          <w:sz w:val="22"/>
          <w:szCs w:val="22"/>
        </w:rPr>
        <w:t>zwiększały nakłady na swój park maszyn i urządzeń – 42,1 proc.</w:t>
      </w:r>
      <w:r w:rsidR="006D2186">
        <w:rPr>
          <w:rFonts w:asciiTheme="minorHAnsi" w:hAnsiTheme="minorHAnsi" w:cstheme="minorHAnsi"/>
          <w:sz w:val="22"/>
          <w:szCs w:val="22"/>
        </w:rPr>
        <w:t xml:space="preserve"> ankietowanych</w:t>
      </w:r>
      <w:r w:rsidR="006D7D3A">
        <w:rPr>
          <w:rFonts w:asciiTheme="minorHAnsi" w:hAnsiTheme="minorHAnsi" w:cstheme="minorHAnsi"/>
          <w:sz w:val="22"/>
          <w:szCs w:val="22"/>
        </w:rPr>
        <w:t xml:space="preserve"> i planowały to w ciągu najbliższych 12 miesięcy – 48,7 proc.</w:t>
      </w:r>
      <w:r w:rsidR="006D2186">
        <w:rPr>
          <w:rFonts w:asciiTheme="minorHAnsi" w:hAnsiTheme="minorHAnsi" w:cstheme="minorHAnsi"/>
          <w:sz w:val="22"/>
          <w:szCs w:val="22"/>
        </w:rPr>
        <w:t xml:space="preserve"> W przypadku</w:t>
      </w:r>
      <w:r w:rsidR="006D7D3A">
        <w:rPr>
          <w:rFonts w:asciiTheme="minorHAnsi" w:hAnsiTheme="minorHAnsi" w:cstheme="minorHAnsi"/>
          <w:sz w:val="22"/>
          <w:szCs w:val="22"/>
        </w:rPr>
        <w:t xml:space="preserve"> przedsiębiorców</w:t>
      </w:r>
      <w:r w:rsidR="006D2186">
        <w:rPr>
          <w:rFonts w:asciiTheme="minorHAnsi" w:hAnsiTheme="minorHAnsi" w:cstheme="minorHAnsi"/>
          <w:sz w:val="22"/>
          <w:szCs w:val="22"/>
        </w:rPr>
        <w:t xml:space="preserve"> polegających tylko na zyskach było to</w:t>
      </w:r>
      <w:r w:rsidR="006D7D3A">
        <w:rPr>
          <w:rFonts w:asciiTheme="minorHAnsi" w:hAnsiTheme="minorHAnsi" w:cstheme="minorHAnsi"/>
          <w:sz w:val="22"/>
          <w:szCs w:val="22"/>
        </w:rPr>
        <w:t xml:space="preserve"> 29 proc. i 31,5 pr</w:t>
      </w:r>
      <w:r w:rsidR="006D2186">
        <w:rPr>
          <w:rFonts w:asciiTheme="minorHAnsi" w:hAnsiTheme="minorHAnsi" w:cstheme="minorHAnsi"/>
          <w:sz w:val="22"/>
          <w:szCs w:val="22"/>
        </w:rPr>
        <w:t>oc. Podobn</w:t>
      </w:r>
      <w:r w:rsidR="00C200BD">
        <w:rPr>
          <w:rFonts w:asciiTheme="minorHAnsi" w:hAnsiTheme="minorHAnsi" w:cstheme="minorHAnsi"/>
          <w:sz w:val="22"/>
          <w:szCs w:val="22"/>
        </w:rPr>
        <w:t>ą</w:t>
      </w:r>
      <w:r w:rsidR="006D2186">
        <w:rPr>
          <w:rFonts w:asciiTheme="minorHAnsi" w:hAnsiTheme="minorHAnsi" w:cstheme="minorHAnsi"/>
          <w:sz w:val="22"/>
          <w:szCs w:val="22"/>
        </w:rPr>
        <w:t xml:space="preserve"> różnic</w:t>
      </w:r>
      <w:r w:rsidR="00C200BD">
        <w:rPr>
          <w:rFonts w:asciiTheme="minorHAnsi" w:hAnsiTheme="minorHAnsi" w:cstheme="minorHAnsi"/>
          <w:sz w:val="22"/>
          <w:szCs w:val="22"/>
        </w:rPr>
        <w:t>ę</w:t>
      </w:r>
      <w:r w:rsidR="006D2186">
        <w:rPr>
          <w:rFonts w:asciiTheme="minorHAnsi" w:hAnsiTheme="minorHAnsi" w:cstheme="minorHAnsi"/>
          <w:sz w:val="22"/>
          <w:szCs w:val="22"/>
        </w:rPr>
        <w:t xml:space="preserve"> widać również</w:t>
      </w:r>
      <w:r w:rsidR="006D7D3A">
        <w:rPr>
          <w:rFonts w:asciiTheme="minorHAnsi" w:hAnsiTheme="minorHAnsi" w:cstheme="minorHAnsi"/>
          <w:sz w:val="22"/>
          <w:szCs w:val="22"/>
        </w:rPr>
        <w:t xml:space="preserve"> w zwiększaniu częstotliwości odnowień. </w:t>
      </w:r>
    </w:p>
    <w:p w14:paraId="76F29B62" w14:textId="47697651" w:rsidR="00891D66" w:rsidRPr="005A35CB" w:rsidRDefault="00D06AA9" w:rsidP="00A82003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Wpływ k</w:t>
      </w:r>
      <w:r w:rsidR="001C7E54">
        <w:rPr>
          <w:rFonts w:asciiTheme="minorHAnsi" w:hAnsiTheme="minorHAnsi" w:cstheme="minorHAnsi"/>
          <w:b/>
          <w:sz w:val="22"/>
          <w:szCs w:val="22"/>
        </w:rPr>
        <w:t>oro</w:t>
      </w:r>
      <w:r w:rsidR="003776F7">
        <w:rPr>
          <w:rFonts w:asciiTheme="minorHAnsi" w:hAnsiTheme="minorHAnsi" w:cstheme="minorHAnsi"/>
          <w:b/>
          <w:sz w:val="22"/>
          <w:szCs w:val="22"/>
        </w:rPr>
        <w:t>nawirus</w:t>
      </w:r>
      <w:r w:rsidR="00C200BD">
        <w:rPr>
          <w:rFonts w:asciiTheme="minorHAnsi" w:hAnsiTheme="minorHAnsi" w:cstheme="minorHAnsi"/>
          <w:b/>
          <w:sz w:val="22"/>
          <w:szCs w:val="22"/>
        </w:rPr>
        <w:t>a</w:t>
      </w:r>
      <w:r w:rsidR="003776F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n</w:t>
      </w:r>
      <w:r w:rsidR="003776F7">
        <w:rPr>
          <w:rFonts w:asciiTheme="minorHAnsi" w:hAnsiTheme="minorHAnsi" w:cstheme="minorHAnsi"/>
          <w:b/>
          <w:sz w:val="22"/>
          <w:szCs w:val="22"/>
        </w:rPr>
        <w:t>a badane branże</w:t>
      </w:r>
    </w:p>
    <w:p w14:paraId="04A74F6D" w14:textId="2A6DCCF3" w:rsidR="005A35CB" w:rsidRDefault="006148B9" w:rsidP="00A8200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Większość badanych podmiotów</w:t>
      </w:r>
      <w:r w:rsidR="005A35CB">
        <w:rPr>
          <w:rFonts w:asciiTheme="minorHAnsi" w:hAnsiTheme="minorHAnsi" w:cstheme="minorHAnsi"/>
          <w:sz w:val="22"/>
          <w:szCs w:val="22"/>
        </w:rPr>
        <w:t xml:space="preserve"> to doświadczone przedsiębiorstwa</w:t>
      </w:r>
      <w:r w:rsidR="005A5C81">
        <w:rPr>
          <w:rFonts w:asciiTheme="minorHAnsi" w:hAnsiTheme="minorHAnsi" w:cstheme="minorHAnsi"/>
          <w:sz w:val="22"/>
          <w:szCs w:val="22"/>
        </w:rPr>
        <w:t>,</w:t>
      </w:r>
      <w:r w:rsidR="005A35CB">
        <w:rPr>
          <w:rFonts w:asciiTheme="minorHAnsi" w:hAnsiTheme="minorHAnsi" w:cstheme="minorHAnsi"/>
          <w:sz w:val="22"/>
          <w:szCs w:val="22"/>
        </w:rPr>
        <w:t xml:space="preserve"> prowadzące działalność powyżej 21 lat. Zdobyte doświadczenie oraz przebyte kryzysy w przeszłości </w:t>
      </w:r>
      <w:r w:rsidR="006A5E7E">
        <w:rPr>
          <w:rFonts w:asciiTheme="minorHAnsi" w:hAnsiTheme="minorHAnsi" w:cstheme="minorHAnsi"/>
          <w:sz w:val="22"/>
          <w:szCs w:val="22"/>
        </w:rPr>
        <w:t>w pewnym sensie mogą</w:t>
      </w:r>
      <w:r w:rsidR="005A35CB">
        <w:rPr>
          <w:rFonts w:asciiTheme="minorHAnsi" w:hAnsiTheme="minorHAnsi" w:cstheme="minorHAnsi"/>
          <w:sz w:val="22"/>
          <w:szCs w:val="22"/>
        </w:rPr>
        <w:t xml:space="preserve"> pomóc</w:t>
      </w:r>
      <w:r w:rsidR="006A5E7E">
        <w:rPr>
          <w:rFonts w:asciiTheme="minorHAnsi" w:hAnsiTheme="minorHAnsi" w:cstheme="minorHAnsi"/>
          <w:sz w:val="22"/>
          <w:szCs w:val="22"/>
        </w:rPr>
        <w:t xml:space="preserve"> im</w:t>
      </w:r>
      <w:r w:rsidR="005A35CB">
        <w:rPr>
          <w:rFonts w:asciiTheme="minorHAnsi" w:hAnsiTheme="minorHAnsi" w:cstheme="minorHAnsi"/>
          <w:sz w:val="22"/>
          <w:szCs w:val="22"/>
        </w:rPr>
        <w:t xml:space="preserve"> przetrwać. </w:t>
      </w:r>
      <w:r w:rsidR="006A5E7E">
        <w:rPr>
          <w:rFonts w:asciiTheme="minorHAnsi" w:hAnsiTheme="minorHAnsi" w:cstheme="minorHAnsi"/>
          <w:sz w:val="22"/>
          <w:szCs w:val="22"/>
        </w:rPr>
        <w:t>Wszystko zależy jednak</w:t>
      </w:r>
      <w:r w:rsidR="005A35CB">
        <w:rPr>
          <w:rFonts w:asciiTheme="minorHAnsi" w:hAnsiTheme="minorHAnsi" w:cstheme="minorHAnsi"/>
          <w:sz w:val="22"/>
          <w:szCs w:val="22"/>
        </w:rPr>
        <w:t xml:space="preserve"> </w:t>
      </w:r>
      <w:r w:rsidR="00C200BD">
        <w:rPr>
          <w:rFonts w:asciiTheme="minorHAnsi" w:hAnsiTheme="minorHAnsi" w:cstheme="minorHAnsi"/>
          <w:sz w:val="22"/>
          <w:szCs w:val="22"/>
        </w:rPr>
        <w:t xml:space="preserve">od tego, </w:t>
      </w:r>
      <w:r w:rsidR="005A35CB">
        <w:rPr>
          <w:rFonts w:asciiTheme="minorHAnsi" w:hAnsiTheme="minorHAnsi" w:cstheme="minorHAnsi"/>
          <w:sz w:val="22"/>
          <w:szCs w:val="22"/>
        </w:rPr>
        <w:t>ile potrwa epidemia wywołana COV</w:t>
      </w:r>
      <w:r w:rsidR="00D06AA9">
        <w:rPr>
          <w:rFonts w:asciiTheme="minorHAnsi" w:hAnsiTheme="minorHAnsi" w:cstheme="minorHAnsi"/>
          <w:sz w:val="22"/>
          <w:szCs w:val="22"/>
        </w:rPr>
        <w:t>ID-19</w:t>
      </w:r>
      <w:r w:rsidR="005A35CB">
        <w:rPr>
          <w:rFonts w:asciiTheme="minorHAnsi" w:hAnsiTheme="minorHAnsi" w:cstheme="minorHAnsi"/>
          <w:sz w:val="22"/>
          <w:szCs w:val="22"/>
        </w:rPr>
        <w:t xml:space="preserve">, </w:t>
      </w:r>
      <w:r w:rsidR="00C200BD">
        <w:rPr>
          <w:rFonts w:asciiTheme="minorHAnsi" w:hAnsiTheme="minorHAnsi" w:cstheme="minorHAnsi"/>
          <w:sz w:val="22"/>
          <w:szCs w:val="22"/>
        </w:rPr>
        <w:t>czego</w:t>
      </w:r>
      <w:r w:rsidR="005A35CB">
        <w:rPr>
          <w:rFonts w:asciiTheme="minorHAnsi" w:hAnsiTheme="minorHAnsi" w:cstheme="minorHAnsi"/>
          <w:sz w:val="22"/>
          <w:szCs w:val="22"/>
        </w:rPr>
        <w:t xml:space="preserve"> nie da się przewidzieć. </w:t>
      </w:r>
    </w:p>
    <w:p w14:paraId="5AA858EB" w14:textId="2E8D4106" w:rsidR="005A5C81" w:rsidRPr="00594641" w:rsidRDefault="00562F18" w:rsidP="00594641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A5C81">
        <w:rPr>
          <w:rFonts w:asciiTheme="minorHAnsi" w:hAnsiTheme="minorHAnsi" w:cstheme="minorHAnsi"/>
          <w:i/>
          <w:sz w:val="22"/>
          <w:szCs w:val="22"/>
        </w:rPr>
        <w:t xml:space="preserve">Warto pamiętać, że każdy </w:t>
      </w:r>
      <w:r w:rsidR="006471DF">
        <w:rPr>
          <w:rFonts w:asciiTheme="minorHAnsi" w:hAnsiTheme="minorHAnsi" w:cstheme="minorHAnsi"/>
          <w:i/>
          <w:sz w:val="22"/>
          <w:szCs w:val="22"/>
        </w:rPr>
        <w:t>przedsiębiorca</w:t>
      </w:r>
      <w:r w:rsidR="005A5C81">
        <w:rPr>
          <w:rFonts w:asciiTheme="minorHAnsi" w:hAnsiTheme="minorHAnsi" w:cstheme="minorHAnsi"/>
          <w:i/>
          <w:sz w:val="22"/>
          <w:szCs w:val="22"/>
        </w:rPr>
        <w:t>, niezależnie od branży, jest w nieco innej sytuacji.</w:t>
      </w:r>
      <w:r>
        <w:rPr>
          <w:rFonts w:asciiTheme="minorHAnsi" w:hAnsiTheme="minorHAnsi" w:cstheme="minorHAnsi"/>
          <w:i/>
          <w:sz w:val="22"/>
          <w:szCs w:val="22"/>
        </w:rPr>
        <w:t xml:space="preserve"> W przypadku poligrafii lub tworzyw sztucznych</w:t>
      </w:r>
      <w:r w:rsidR="006148B9">
        <w:rPr>
          <w:rFonts w:asciiTheme="minorHAnsi" w:hAnsiTheme="minorHAnsi" w:cstheme="minorHAnsi"/>
          <w:i/>
          <w:sz w:val="22"/>
          <w:szCs w:val="22"/>
        </w:rPr>
        <w:t>,</w:t>
      </w:r>
      <w:r>
        <w:rPr>
          <w:rFonts w:asciiTheme="minorHAnsi" w:hAnsiTheme="minorHAnsi" w:cstheme="minorHAnsi"/>
          <w:i/>
          <w:sz w:val="22"/>
          <w:szCs w:val="22"/>
        </w:rPr>
        <w:t xml:space="preserve"> wszystko zależy </w:t>
      </w:r>
      <w:r w:rsidR="005A5C81">
        <w:rPr>
          <w:rFonts w:asciiTheme="minorHAnsi" w:hAnsiTheme="minorHAnsi" w:cstheme="minorHAnsi"/>
          <w:i/>
          <w:sz w:val="22"/>
          <w:szCs w:val="22"/>
        </w:rPr>
        <w:t>od konkretnej</w:t>
      </w:r>
      <w:r>
        <w:rPr>
          <w:rFonts w:asciiTheme="minorHAnsi" w:hAnsiTheme="minorHAnsi" w:cstheme="minorHAnsi"/>
          <w:i/>
          <w:sz w:val="22"/>
          <w:szCs w:val="22"/>
        </w:rPr>
        <w:t xml:space="preserve"> firmy. Jeśli przedsiębiorstwo dostarczało np. plastikowe sztućce i opa</w:t>
      </w:r>
      <w:r w:rsidR="004601DB">
        <w:rPr>
          <w:rFonts w:asciiTheme="minorHAnsi" w:hAnsiTheme="minorHAnsi" w:cstheme="minorHAnsi"/>
          <w:i/>
          <w:sz w:val="22"/>
          <w:szCs w:val="22"/>
        </w:rPr>
        <w:t>kowania lub plakaty</w:t>
      </w:r>
      <w:r>
        <w:rPr>
          <w:rFonts w:asciiTheme="minorHAnsi" w:hAnsiTheme="minorHAnsi" w:cstheme="minorHAnsi"/>
          <w:i/>
          <w:sz w:val="22"/>
          <w:szCs w:val="22"/>
        </w:rPr>
        <w:t xml:space="preserve"> na różnego rodzaju wydarzenia</w:t>
      </w:r>
      <w:r w:rsidR="005B3F0F">
        <w:rPr>
          <w:rFonts w:asciiTheme="minorHAnsi" w:hAnsiTheme="minorHAnsi" w:cstheme="minorHAnsi"/>
          <w:i/>
          <w:sz w:val="22"/>
          <w:szCs w:val="22"/>
        </w:rPr>
        <w:t xml:space="preserve"> biznesowe, sportowe</w:t>
      </w:r>
      <w:r w:rsidR="00BB2DA1">
        <w:rPr>
          <w:rFonts w:asciiTheme="minorHAnsi" w:hAnsiTheme="minorHAnsi" w:cstheme="minorHAnsi"/>
          <w:i/>
          <w:sz w:val="22"/>
          <w:szCs w:val="22"/>
        </w:rPr>
        <w:t>,</w:t>
      </w:r>
      <w:r>
        <w:rPr>
          <w:rFonts w:asciiTheme="minorHAnsi" w:hAnsiTheme="minorHAnsi" w:cstheme="minorHAnsi"/>
          <w:i/>
          <w:sz w:val="22"/>
          <w:szCs w:val="22"/>
        </w:rPr>
        <w:t xml:space="preserve"> jej sytuacja jest ciężka. Natomiast w przypadku produkowania opakowań dla produktów spożyw</w:t>
      </w:r>
      <w:r w:rsidR="00A31974">
        <w:rPr>
          <w:rFonts w:asciiTheme="minorHAnsi" w:hAnsiTheme="minorHAnsi" w:cstheme="minorHAnsi"/>
          <w:i/>
          <w:sz w:val="22"/>
          <w:szCs w:val="22"/>
        </w:rPr>
        <w:t>czych, środków higieny czy dezynfekcji</w:t>
      </w:r>
      <w:r>
        <w:rPr>
          <w:rFonts w:asciiTheme="minorHAnsi" w:hAnsiTheme="minorHAnsi" w:cstheme="minorHAnsi"/>
          <w:i/>
          <w:sz w:val="22"/>
          <w:szCs w:val="22"/>
        </w:rPr>
        <w:t>, ich sytuacja może być stabilna</w:t>
      </w:r>
      <w:r w:rsidR="005E2DC0">
        <w:rPr>
          <w:rFonts w:asciiTheme="minorHAnsi" w:hAnsiTheme="minorHAnsi" w:cstheme="minorHAnsi"/>
          <w:i/>
          <w:sz w:val="22"/>
          <w:szCs w:val="22"/>
        </w:rPr>
        <w:t>, a nawet</w:t>
      </w:r>
      <w:r w:rsidR="00F87455">
        <w:rPr>
          <w:rFonts w:asciiTheme="minorHAnsi" w:hAnsiTheme="minorHAnsi" w:cstheme="minorHAnsi"/>
          <w:i/>
          <w:sz w:val="22"/>
          <w:szCs w:val="22"/>
        </w:rPr>
        <w:t xml:space="preserve"> mogą</w:t>
      </w:r>
      <w:r w:rsidR="005E2DC0">
        <w:rPr>
          <w:rFonts w:asciiTheme="minorHAnsi" w:hAnsiTheme="minorHAnsi" w:cstheme="minorHAnsi"/>
          <w:i/>
          <w:sz w:val="22"/>
          <w:szCs w:val="22"/>
        </w:rPr>
        <w:t xml:space="preserve"> odnotowywać wzrosty</w:t>
      </w:r>
      <w:r w:rsidR="00C952F4">
        <w:rPr>
          <w:rFonts w:asciiTheme="minorHAnsi" w:hAnsiTheme="minorHAnsi" w:cstheme="minorHAnsi"/>
          <w:i/>
          <w:sz w:val="22"/>
          <w:szCs w:val="22"/>
        </w:rPr>
        <w:t>. Podobnie jest w </w:t>
      </w:r>
      <w:r>
        <w:rPr>
          <w:rFonts w:asciiTheme="minorHAnsi" w:hAnsiTheme="minorHAnsi" w:cstheme="minorHAnsi"/>
          <w:i/>
          <w:sz w:val="22"/>
          <w:szCs w:val="22"/>
        </w:rPr>
        <w:t xml:space="preserve">branży food and beverage. </w:t>
      </w:r>
      <w:r w:rsidR="00D06AA9">
        <w:rPr>
          <w:rFonts w:asciiTheme="minorHAnsi" w:hAnsiTheme="minorHAnsi" w:cstheme="minorHAnsi"/>
          <w:i/>
          <w:sz w:val="22"/>
          <w:szCs w:val="22"/>
        </w:rPr>
        <w:t>Wiele zależy również od łańcucha dostaw i jego ewentualnego zachwiania</w:t>
      </w:r>
      <w:r>
        <w:rPr>
          <w:rFonts w:asciiTheme="minorHAnsi" w:hAnsiTheme="minorHAnsi" w:cstheme="minorHAnsi"/>
          <w:i/>
          <w:sz w:val="22"/>
          <w:szCs w:val="22"/>
        </w:rPr>
        <w:t xml:space="preserve"> - </w:t>
      </w:r>
      <w:r w:rsidRPr="00562F18">
        <w:rPr>
          <w:rFonts w:asciiTheme="minorHAnsi" w:hAnsiTheme="minorHAnsi" w:cstheme="minorHAnsi"/>
          <w:sz w:val="22"/>
          <w:szCs w:val="22"/>
        </w:rPr>
        <w:t xml:space="preserve">zaznacza </w:t>
      </w:r>
      <w:r w:rsidRPr="00F21867">
        <w:rPr>
          <w:rFonts w:asciiTheme="minorHAnsi" w:hAnsiTheme="minorHAnsi" w:cstheme="minorHAnsi"/>
          <w:b/>
          <w:bCs/>
          <w:sz w:val="22"/>
          <w:szCs w:val="22"/>
        </w:rPr>
        <w:t>Tomasz Kukulsk</w:t>
      </w:r>
      <w:r w:rsidR="00FE3C61" w:rsidRPr="00F2186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562F18">
        <w:rPr>
          <w:rFonts w:asciiTheme="minorHAnsi" w:hAnsiTheme="minorHAnsi" w:cstheme="minorHAnsi"/>
          <w:sz w:val="22"/>
          <w:szCs w:val="22"/>
        </w:rPr>
        <w:t>.</w:t>
      </w:r>
      <w:r w:rsidR="00D06AA9">
        <w:rPr>
          <w:rFonts w:asciiTheme="minorHAnsi" w:hAnsiTheme="minorHAnsi" w:cstheme="minorHAnsi"/>
          <w:sz w:val="22"/>
          <w:szCs w:val="22"/>
        </w:rPr>
        <w:t xml:space="preserve"> </w:t>
      </w:r>
      <w:r w:rsidR="004A3D7D">
        <w:rPr>
          <w:rFonts w:asciiTheme="minorHAnsi" w:hAnsiTheme="minorHAnsi" w:cstheme="minorHAnsi"/>
          <w:sz w:val="22"/>
          <w:szCs w:val="22"/>
        </w:rPr>
        <w:t>–</w:t>
      </w:r>
      <w:r w:rsidR="00FC3C4A">
        <w:rPr>
          <w:rFonts w:asciiTheme="minorHAnsi" w:hAnsiTheme="minorHAnsi" w:cstheme="minorHAnsi"/>
          <w:sz w:val="22"/>
          <w:szCs w:val="22"/>
        </w:rPr>
        <w:t xml:space="preserve"> </w:t>
      </w:r>
      <w:r w:rsidR="0039775C">
        <w:rPr>
          <w:rFonts w:asciiTheme="minorHAnsi" w:hAnsiTheme="minorHAnsi" w:cstheme="minorHAnsi"/>
          <w:i/>
          <w:sz w:val="22"/>
          <w:szCs w:val="22"/>
        </w:rPr>
        <w:t>Dodatkowo</w:t>
      </w:r>
      <w:r w:rsidR="005109D3">
        <w:rPr>
          <w:rFonts w:asciiTheme="minorHAnsi" w:hAnsiTheme="minorHAnsi" w:cstheme="minorHAnsi"/>
          <w:i/>
          <w:sz w:val="22"/>
          <w:szCs w:val="22"/>
        </w:rPr>
        <w:t>, kluczową kwestią jest</w:t>
      </w:r>
      <w:r w:rsidR="0039775C">
        <w:rPr>
          <w:rFonts w:asciiTheme="minorHAnsi" w:hAnsiTheme="minorHAnsi" w:cstheme="minorHAnsi"/>
          <w:i/>
          <w:sz w:val="22"/>
          <w:szCs w:val="22"/>
        </w:rPr>
        <w:t xml:space="preserve"> teraz</w:t>
      </w:r>
      <w:r w:rsidR="005109D3">
        <w:rPr>
          <w:rFonts w:asciiTheme="minorHAnsi" w:hAnsiTheme="minorHAnsi" w:cstheme="minorHAnsi"/>
          <w:i/>
          <w:sz w:val="22"/>
          <w:szCs w:val="22"/>
        </w:rPr>
        <w:t xml:space="preserve"> dostosowanie</w:t>
      </w:r>
      <w:r w:rsidR="00FC3C4A">
        <w:rPr>
          <w:rFonts w:asciiTheme="minorHAnsi" w:hAnsiTheme="minorHAnsi" w:cstheme="minorHAnsi"/>
          <w:i/>
          <w:sz w:val="22"/>
          <w:szCs w:val="22"/>
        </w:rPr>
        <w:t xml:space="preserve"> się przez firmy przemysłowe do nowej rzeczywistości, co część przedsiębiorców już robi, dążąc</w:t>
      </w:r>
      <w:r w:rsidR="0039775C">
        <w:rPr>
          <w:rFonts w:asciiTheme="minorHAnsi" w:hAnsiTheme="minorHAnsi" w:cstheme="minorHAnsi"/>
          <w:i/>
          <w:sz w:val="22"/>
          <w:szCs w:val="22"/>
        </w:rPr>
        <w:t xml:space="preserve"> do większej automatyzacji i </w:t>
      </w:r>
      <w:r w:rsidR="00FC3C4A">
        <w:rPr>
          <w:rFonts w:asciiTheme="minorHAnsi" w:hAnsiTheme="minorHAnsi" w:cstheme="minorHAnsi"/>
          <w:i/>
          <w:sz w:val="22"/>
          <w:szCs w:val="22"/>
        </w:rPr>
        <w:t>zdalnej kontroli.</w:t>
      </w:r>
      <w:r w:rsidR="004601DB">
        <w:rPr>
          <w:rFonts w:asciiTheme="minorHAnsi" w:hAnsiTheme="minorHAnsi" w:cstheme="minorHAnsi"/>
          <w:sz w:val="22"/>
          <w:szCs w:val="22"/>
        </w:rPr>
        <w:t xml:space="preserve"> </w:t>
      </w:r>
      <w:r w:rsidR="002511B2" w:rsidRPr="0060079E">
        <w:rPr>
          <w:rFonts w:asciiTheme="minorHAnsi" w:hAnsiTheme="minorHAnsi" w:cstheme="minorHAnsi"/>
          <w:i/>
          <w:sz w:val="22"/>
          <w:szCs w:val="22"/>
        </w:rPr>
        <w:t>Do tego potrzeba będzie</w:t>
      </w:r>
      <w:r w:rsidR="00FC3C4A">
        <w:rPr>
          <w:rFonts w:asciiTheme="minorHAnsi" w:hAnsiTheme="minorHAnsi" w:cstheme="minorHAnsi"/>
          <w:i/>
          <w:sz w:val="22"/>
          <w:szCs w:val="22"/>
        </w:rPr>
        <w:t xml:space="preserve"> jednak</w:t>
      </w:r>
      <w:r w:rsidR="002511B2" w:rsidRPr="0060079E">
        <w:rPr>
          <w:rFonts w:asciiTheme="minorHAnsi" w:hAnsiTheme="minorHAnsi" w:cstheme="minorHAnsi"/>
          <w:i/>
          <w:sz w:val="22"/>
          <w:szCs w:val="22"/>
        </w:rPr>
        <w:t xml:space="preserve"> nowych inwestycji, maszyn i urządzeń oraz finansowania</w:t>
      </w:r>
      <w:r w:rsidR="002511B2">
        <w:rPr>
          <w:rFonts w:asciiTheme="minorHAnsi" w:hAnsiTheme="minorHAnsi" w:cstheme="minorHAnsi"/>
          <w:i/>
          <w:sz w:val="22"/>
          <w:szCs w:val="22"/>
        </w:rPr>
        <w:t xml:space="preserve"> –</w:t>
      </w:r>
      <w:r w:rsidR="002511B2" w:rsidRPr="00F87455">
        <w:rPr>
          <w:rFonts w:asciiTheme="minorHAnsi" w:hAnsiTheme="minorHAnsi" w:cstheme="minorHAnsi"/>
          <w:iCs/>
          <w:sz w:val="22"/>
          <w:szCs w:val="22"/>
        </w:rPr>
        <w:t xml:space="preserve"> podsumowuje. </w:t>
      </w:r>
    </w:p>
    <w:p w14:paraId="569D3864" w14:textId="77777777" w:rsidR="00871394" w:rsidRDefault="00871394" w:rsidP="004E44F1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</w:p>
    <w:p w14:paraId="19687509" w14:textId="20BB9058" w:rsidR="004E44F1" w:rsidRPr="004E44F1" w:rsidRDefault="004E44F1" w:rsidP="004E44F1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4E44F1">
        <w:rPr>
          <w:rFonts w:asciiTheme="minorHAnsi" w:hAnsiTheme="minorHAnsi" w:cstheme="minorHAnsi"/>
          <w:sz w:val="18"/>
          <w:szCs w:val="18"/>
        </w:rPr>
        <w:t>Nota metodologiczna:</w:t>
      </w:r>
    </w:p>
    <w:p w14:paraId="2028A98B" w14:textId="030F1769" w:rsidR="004E44F1" w:rsidRPr="004E44F1" w:rsidRDefault="004E44F1" w:rsidP="004E44F1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4E44F1">
        <w:rPr>
          <w:rFonts w:asciiTheme="minorHAnsi" w:hAnsiTheme="minorHAnsi" w:cstheme="minorHAnsi"/>
          <w:sz w:val="18"/>
          <w:szCs w:val="18"/>
        </w:rPr>
        <w:t>Badanie zostało zrealizowane przez Instytut Keralla Research w marcu 2020 r. na podstawie wywiadów z 400 przedstawicielami małych i średnich przedsiębiorstw z branży poligraficznej, metalowej, tworzyw sztucznych i food and beverage z całej Polski</w:t>
      </w:r>
      <w:r>
        <w:rPr>
          <w:rFonts w:asciiTheme="minorHAnsi" w:hAnsiTheme="minorHAnsi" w:cstheme="minorHAnsi"/>
          <w:sz w:val="18"/>
          <w:szCs w:val="18"/>
        </w:rPr>
        <w:t xml:space="preserve"> oraz posiadających własny park maszyn i urządzań (MiU)</w:t>
      </w:r>
      <w:r w:rsidRPr="004E44F1">
        <w:rPr>
          <w:rFonts w:asciiTheme="minorHAnsi" w:hAnsiTheme="minorHAnsi" w:cstheme="minorHAnsi"/>
          <w:sz w:val="18"/>
          <w:szCs w:val="18"/>
        </w:rPr>
        <w:t>. Wykorzystano metodę telefonicznych standaryzowanych wywiadów kwest</w:t>
      </w:r>
      <w:r>
        <w:rPr>
          <w:rFonts w:asciiTheme="minorHAnsi" w:hAnsiTheme="minorHAnsi" w:cstheme="minorHAnsi"/>
          <w:sz w:val="18"/>
          <w:szCs w:val="18"/>
        </w:rPr>
        <w:t>ionariuszowych</w:t>
      </w:r>
      <w:r w:rsidRPr="004E44F1">
        <w:rPr>
          <w:rFonts w:asciiTheme="minorHAnsi" w:hAnsiTheme="minorHAnsi" w:cstheme="minorHAnsi"/>
          <w:sz w:val="18"/>
          <w:szCs w:val="18"/>
        </w:rPr>
        <w:t xml:space="preserve"> (CATI).</w:t>
      </w:r>
    </w:p>
    <w:p w14:paraId="52FCF82C" w14:textId="77777777" w:rsidR="004E44F1" w:rsidRPr="006805FC" w:rsidRDefault="004E44F1" w:rsidP="00A8200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B6C88C0" w14:textId="7B48867B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05FC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14:paraId="5DC6EE69" w14:textId="77777777" w:rsidR="00131B54" w:rsidRPr="005A35CB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A35CB">
        <w:rPr>
          <w:rFonts w:asciiTheme="minorHAnsi" w:hAnsiTheme="minorHAnsi" w:cstheme="minorHAnsi"/>
          <w:sz w:val="22"/>
          <w:szCs w:val="22"/>
          <w:lang w:val="en-GB"/>
        </w:rPr>
        <w:t>Radosław Pupiec</w:t>
      </w:r>
    </w:p>
    <w:p w14:paraId="33B528FB" w14:textId="5ABDB150" w:rsidR="00131B54" w:rsidRPr="005A35CB" w:rsidRDefault="00252D3D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A35CB">
        <w:rPr>
          <w:rFonts w:asciiTheme="minorHAnsi" w:hAnsiTheme="minorHAnsi" w:cstheme="minorHAnsi"/>
          <w:sz w:val="22"/>
          <w:szCs w:val="22"/>
          <w:lang w:val="en-GB"/>
        </w:rPr>
        <w:t>Menedżer Projektów</w:t>
      </w:r>
      <w:r w:rsidR="00131B54" w:rsidRPr="005A35CB">
        <w:rPr>
          <w:rFonts w:asciiTheme="minorHAnsi" w:hAnsiTheme="minorHAnsi" w:cstheme="minorHAnsi"/>
          <w:sz w:val="22"/>
          <w:szCs w:val="22"/>
          <w:lang w:val="en-GB"/>
        </w:rPr>
        <w:t>, Clear Communication Group</w:t>
      </w:r>
    </w:p>
    <w:p w14:paraId="47F2022B" w14:textId="77777777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05FC">
        <w:rPr>
          <w:rFonts w:asciiTheme="minorHAnsi" w:hAnsiTheme="minorHAnsi" w:cstheme="minorHAnsi"/>
          <w:sz w:val="22"/>
          <w:szCs w:val="22"/>
        </w:rPr>
        <w:t>radoslaw.pupiec@clearcom.pl</w:t>
      </w:r>
    </w:p>
    <w:p w14:paraId="2A4A156C" w14:textId="77777777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05FC">
        <w:rPr>
          <w:rFonts w:asciiTheme="minorHAnsi" w:hAnsiTheme="minorHAnsi" w:cstheme="minorHAnsi"/>
          <w:sz w:val="22"/>
          <w:szCs w:val="22"/>
        </w:rPr>
        <w:t>517 595 218</w:t>
      </w:r>
    </w:p>
    <w:p w14:paraId="772495FD" w14:textId="77777777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19B0F3C" w14:textId="77777777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05FC">
        <w:rPr>
          <w:rFonts w:asciiTheme="minorHAnsi" w:hAnsiTheme="minorHAnsi" w:cstheme="minorHAnsi"/>
          <w:sz w:val="22"/>
          <w:szCs w:val="22"/>
        </w:rPr>
        <w:t>***</w:t>
      </w:r>
    </w:p>
    <w:p w14:paraId="44A4423E" w14:textId="77777777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05FC">
        <w:rPr>
          <w:rFonts w:asciiTheme="minorHAnsi" w:hAnsiTheme="minorHAnsi" w:cstheme="minorHAnsi"/>
          <w:b/>
          <w:sz w:val="22"/>
          <w:szCs w:val="22"/>
        </w:rPr>
        <w:t>Siemens Financial Services</w:t>
      </w:r>
      <w:r w:rsidRPr="006805FC">
        <w:rPr>
          <w:rFonts w:asciiTheme="minorHAnsi" w:hAnsiTheme="minorHAnsi" w:cstheme="minorHAnsi"/>
          <w:sz w:val="22"/>
          <w:szCs w:val="22"/>
        </w:rPr>
        <w:t xml:space="preserve"> to firma z grupy Siemens, wyspecjalizowana w produktach i usługach finansowych skierowanych do firm operujących w najważniejszych obszarach gospodarki – m.in. sektorach: przemysłowym, budowlanym, energetycznym, ochrony zdrowia. Dzięki wieloletniemu, międzynarodowemu doświadczeniu oraz wiedzy z obszarów, w których operują klienci firmy, Siemens Financial Services dostarcza produkty dopasowane do indywidualnych potrzeb przedsiębiorstw. Oferta firmy obejmuje m.in. finansowanie sprzętu i nowoczesnych technologii, które wspierają firmy na każdym etapie ich rozwoju.</w:t>
      </w:r>
    </w:p>
    <w:p w14:paraId="76D60436" w14:textId="0A4F70D4" w:rsidR="00131B54" w:rsidRPr="006805FC" w:rsidRDefault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05FC">
        <w:rPr>
          <w:rFonts w:asciiTheme="minorHAnsi" w:hAnsiTheme="minorHAnsi" w:cstheme="minorHAnsi"/>
          <w:b/>
          <w:sz w:val="22"/>
          <w:szCs w:val="22"/>
        </w:rPr>
        <w:t>Siemens AG</w:t>
      </w:r>
      <w:r w:rsidRPr="006805FC">
        <w:rPr>
          <w:rFonts w:asciiTheme="minorHAnsi" w:hAnsiTheme="minorHAnsi" w:cstheme="minorHAnsi"/>
          <w:sz w:val="22"/>
          <w:szCs w:val="22"/>
        </w:rPr>
        <w:t xml:space="preserve"> </w:t>
      </w:r>
      <w:r w:rsidR="00525C13" w:rsidRPr="006805FC">
        <w:rPr>
          <w:rFonts w:asciiTheme="minorHAnsi" w:hAnsiTheme="minorHAnsi" w:cstheme="minorHAnsi"/>
          <w:sz w:val="22"/>
          <w:szCs w:val="22"/>
        </w:rPr>
        <w:t>to lider technologiczny będący globalnym symbolem doskonałości technologicznej, innowacyjności, jakości i niezawodności od ponad 170 lat</w:t>
      </w:r>
      <w:r w:rsidR="00995572" w:rsidRPr="006805FC">
        <w:rPr>
          <w:rFonts w:asciiTheme="minorHAnsi" w:hAnsiTheme="minorHAnsi" w:cstheme="minorHAnsi"/>
          <w:sz w:val="22"/>
          <w:szCs w:val="22"/>
        </w:rPr>
        <w:t>.</w:t>
      </w:r>
      <w:r w:rsidRPr="006805FC">
        <w:rPr>
          <w:rFonts w:asciiTheme="minorHAnsi" w:hAnsiTheme="minorHAnsi" w:cstheme="minorHAnsi"/>
          <w:sz w:val="22"/>
          <w:szCs w:val="22"/>
        </w:rPr>
        <w:t xml:space="preserve"> Firma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 jest obecna na całym świecie</w:t>
      </w:r>
      <w:r w:rsidRPr="006805FC">
        <w:rPr>
          <w:rFonts w:asciiTheme="minorHAnsi" w:hAnsiTheme="minorHAnsi" w:cstheme="minorHAnsi"/>
          <w:sz w:val="22"/>
          <w:szCs w:val="22"/>
        </w:rPr>
        <w:t xml:space="preserve">, koncentrując się na 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obszarach wytwarzania i dystrybucji energii, inteligentnej infrastruktury dla budynków, rozproszonych systemów energetycznych oraz automatyzacji i cyfryzacji w przemyśle przetwórczym i produkcyjnym. Poprzez osobno zarządzaną firmę Siemens Mobility – wiodącego </w:t>
      </w:r>
      <w:r w:rsidR="00CE5D91" w:rsidRPr="006805FC">
        <w:rPr>
          <w:rFonts w:asciiTheme="minorHAnsi" w:hAnsiTheme="minorHAnsi" w:cstheme="minorHAnsi"/>
          <w:sz w:val="22"/>
          <w:szCs w:val="22"/>
        </w:rPr>
        <w:t>dostawcę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 inteligentnych rozwiązań w zakresie mobilności dla transportu kolejowego </w:t>
      </w:r>
      <w:r w:rsidR="00525C13" w:rsidRPr="006805FC">
        <w:rPr>
          <w:rFonts w:asciiTheme="minorHAnsi" w:hAnsiTheme="minorHAnsi" w:cstheme="minorHAnsi"/>
          <w:sz w:val="22"/>
          <w:szCs w:val="22"/>
        </w:rPr>
        <w:t xml:space="preserve">i drogowego </w:t>
      </w:r>
      <w:r w:rsidR="00CF6B6C" w:rsidRPr="006805FC">
        <w:rPr>
          <w:rFonts w:asciiTheme="minorHAnsi" w:hAnsiTheme="minorHAnsi" w:cstheme="minorHAnsi"/>
          <w:sz w:val="22"/>
          <w:szCs w:val="22"/>
        </w:rPr>
        <w:t>– Siemens kształtuje światowy rynek u</w:t>
      </w:r>
      <w:r w:rsidR="00CE5D91" w:rsidRPr="006805FC">
        <w:rPr>
          <w:rFonts w:asciiTheme="minorHAnsi" w:hAnsiTheme="minorHAnsi" w:cstheme="minorHAnsi"/>
          <w:sz w:val="22"/>
          <w:szCs w:val="22"/>
        </w:rPr>
        <w:t>sług pasażerskich i towarowych.</w:t>
      </w:r>
      <w:r w:rsidR="000926B4" w:rsidRPr="006805FC">
        <w:rPr>
          <w:rFonts w:asciiTheme="minorHAnsi" w:hAnsiTheme="minorHAnsi" w:cstheme="minorHAnsi"/>
          <w:sz w:val="22"/>
          <w:szCs w:val="22"/>
        </w:rPr>
        <w:t xml:space="preserve"> Natomiast j</w:t>
      </w:r>
      <w:r w:rsidR="00CF6B6C" w:rsidRPr="006805FC">
        <w:rPr>
          <w:rFonts w:asciiTheme="minorHAnsi" w:hAnsiTheme="minorHAnsi" w:cstheme="minorHAnsi"/>
          <w:sz w:val="22"/>
          <w:szCs w:val="22"/>
        </w:rPr>
        <w:t>ako większościowy udziałowiec w spółkach Siemens Healthineers AG i Siemens Gamesa Renewable</w:t>
      </w:r>
      <w:r w:rsidR="009441A5" w:rsidRPr="006805FC">
        <w:rPr>
          <w:rFonts w:asciiTheme="minorHAnsi" w:hAnsiTheme="minorHAnsi" w:cstheme="minorHAnsi"/>
          <w:sz w:val="22"/>
          <w:szCs w:val="22"/>
        </w:rPr>
        <w:t xml:space="preserve"> </w:t>
      </w:r>
      <w:r w:rsidR="00CF6B6C" w:rsidRPr="006805FC">
        <w:rPr>
          <w:rFonts w:asciiTheme="minorHAnsi" w:hAnsiTheme="minorHAnsi" w:cstheme="minorHAnsi"/>
          <w:sz w:val="22"/>
          <w:szCs w:val="22"/>
        </w:rPr>
        <w:t>Energy, jest również wiodącym dostawcą technologii medycznej i cyfrowych usług opieki zdrowotnej</w:t>
      </w:r>
      <w:r w:rsidR="001C0B76" w:rsidRPr="006805FC">
        <w:rPr>
          <w:rFonts w:asciiTheme="minorHAnsi" w:hAnsiTheme="minorHAnsi" w:cstheme="minorHAnsi"/>
          <w:sz w:val="22"/>
          <w:szCs w:val="22"/>
        </w:rPr>
        <w:t xml:space="preserve"> na świecie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, a także </w:t>
      </w:r>
      <w:r w:rsidR="00250695" w:rsidRPr="006805FC">
        <w:rPr>
          <w:rFonts w:asciiTheme="minorHAnsi" w:hAnsiTheme="minorHAnsi" w:cstheme="minorHAnsi"/>
          <w:sz w:val="22"/>
          <w:szCs w:val="22"/>
        </w:rPr>
        <w:t xml:space="preserve">przyjaznych środowisku rozwiązań z </w:t>
      </w:r>
      <w:r w:rsidR="001C0B76" w:rsidRPr="006805FC">
        <w:rPr>
          <w:rFonts w:asciiTheme="minorHAnsi" w:hAnsiTheme="minorHAnsi" w:cstheme="minorHAnsi"/>
          <w:sz w:val="22"/>
          <w:szCs w:val="22"/>
        </w:rPr>
        <w:t xml:space="preserve">wykorzystaniem 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energii wiatrowej na lądzie i morzu. </w:t>
      </w:r>
      <w:r w:rsidRPr="006805FC">
        <w:rPr>
          <w:rFonts w:asciiTheme="minorHAnsi" w:hAnsiTheme="minorHAnsi" w:cstheme="minorHAnsi"/>
          <w:sz w:val="22"/>
          <w:szCs w:val="22"/>
        </w:rPr>
        <w:t>W roku finansowym 201</w:t>
      </w:r>
      <w:r w:rsidR="008944F1" w:rsidRPr="006805FC">
        <w:rPr>
          <w:rFonts w:asciiTheme="minorHAnsi" w:hAnsiTheme="minorHAnsi" w:cstheme="minorHAnsi"/>
          <w:sz w:val="22"/>
          <w:szCs w:val="22"/>
        </w:rPr>
        <w:t>9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 Siemens wygenerował</w:t>
      </w:r>
      <w:r w:rsidRPr="006805FC">
        <w:rPr>
          <w:rFonts w:asciiTheme="minorHAnsi" w:hAnsiTheme="minorHAnsi" w:cstheme="minorHAnsi"/>
          <w:sz w:val="22"/>
          <w:szCs w:val="22"/>
        </w:rPr>
        <w:t xml:space="preserve"> przych</w:t>
      </w:r>
      <w:r w:rsidR="00CF6B6C" w:rsidRPr="006805FC">
        <w:rPr>
          <w:rFonts w:asciiTheme="minorHAnsi" w:hAnsiTheme="minorHAnsi" w:cstheme="minorHAnsi"/>
          <w:sz w:val="22"/>
          <w:szCs w:val="22"/>
        </w:rPr>
        <w:t>o</w:t>
      </w:r>
      <w:r w:rsidRPr="006805FC">
        <w:rPr>
          <w:rFonts w:asciiTheme="minorHAnsi" w:hAnsiTheme="minorHAnsi" w:cstheme="minorHAnsi"/>
          <w:sz w:val="22"/>
          <w:szCs w:val="22"/>
        </w:rPr>
        <w:t>d</w:t>
      </w:r>
      <w:r w:rsidR="00CF6B6C" w:rsidRPr="006805FC">
        <w:rPr>
          <w:rFonts w:asciiTheme="minorHAnsi" w:hAnsiTheme="minorHAnsi" w:cstheme="minorHAnsi"/>
          <w:sz w:val="22"/>
          <w:szCs w:val="22"/>
        </w:rPr>
        <w:t>y</w:t>
      </w:r>
      <w:r w:rsidRPr="006805FC">
        <w:rPr>
          <w:rFonts w:asciiTheme="minorHAnsi" w:hAnsiTheme="minorHAnsi" w:cstheme="minorHAnsi"/>
          <w:sz w:val="22"/>
          <w:szCs w:val="22"/>
        </w:rPr>
        <w:t xml:space="preserve"> w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 wysokości</w:t>
      </w:r>
      <w:r w:rsidRPr="006805FC">
        <w:rPr>
          <w:rFonts w:asciiTheme="minorHAnsi" w:hAnsiTheme="minorHAnsi" w:cstheme="minorHAnsi"/>
          <w:sz w:val="22"/>
          <w:szCs w:val="22"/>
        </w:rPr>
        <w:t xml:space="preserve"> </w:t>
      </w:r>
      <w:r w:rsidR="008944F1" w:rsidRPr="006805FC">
        <w:rPr>
          <w:rFonts w:asciiTheme="minorHAnsi" w:hAnsiTheme="minorHAnsi" w:cstheme="minorHAnsi"/>
          <w:sz w:val="22"/>
          <w:szCs w:val="22"/>
        </w:rPr>
        <w:t>86</w:t>
      </w:r>
      <w:r w:rsidRPr="006805FC">
        <w:rPr>
          <w:rFonts w:asciiTheme="minorHAnsi" w:hAnsiTheme="minorHAnsi" w:cstheme="minorHAnsi"/>
          <w:sz w:val="22"/>
          <w:szCs w:val="22"/>
        </w:rPr>
        <w:t>,</w:t>
      </w:r>
      <w:r w:rsidR="008944F1" w:rsidRPr="006805FC">
        <w:rPr>
          <w:rFonts w:asciiTheme="minorHAnsi" w:hAnsiTheme="minorHAnsi" w:cstheme="minorHAnsi"/>
          <w:sz w:val="22"/>
          <w:szCs w:val="22"/>
        </w:rPr>
        <w:t>8</w:t>
      </w:r>
      <w:r w:rsidRPr="006805FC">
        <w:rPr>
          <w:rFonts w:asciiTheme="minorHAnsi" w:hAnsiTheme="minorHAnsi" w:cstheme="minorHAnsi"/>
          <w:sz w:val="22"/>
          <w:szCs w:val="22"/>
        </w:rPr>
        <w:t xml:space="preserve"> miliarda euro, a </w:t>
      </w:r>
      <w:r w:rsidR="00525C13" w:rsidRPr="006805FC">
        <w:rPr>
          <w:rFonts w:asciiTheme="minorHAnsi" w:hAnsiTheme="minorHAnsi" w:cstheme="minorHAnsi"/>
          <w:sz w:val="22"/>
          <w:szCs w:val="22"/>
        </w:rPr>
        <w:t xml:space="preserve">zysk  </w:t>
      </w:r>
      <w:r w:rsidRPr="006805FC">
        <w:rPr>
          <w:rFonts w:asciiTheme="minorHAnsi" w:hAnsiTheme="minorHAnsi" w:cstheme="minorHAnsi"/>
          <w:sz w:val="22"/>
          <w:szCs w:val="22"/>
        </w:rPr>
        <w:t>netto</w:t>
      </w:r>
      <w:r w:rsidR="00CF6B6C" w:rsidRPr="006805FC">
        <w:rPr>
          <w:rFonts w:asciiTheme="minorHAnsi" w:hAnsiTheme="minorHAnsi" w:cstheme="minorHAnsi"/>
          <w:sz w:val="22"/>
          <w:szCs w:val="22"/>
        </w:rPr>
        <w:t xml:space="preserve"> na poziomie</w:t>
      </w:r>
      <w:r w:rsidRPr="006805FC">
        <w:rPr>
          <w:rFonts w:asciiTheme="minorHAnsi" w:hAnsiTheme="minorHAnsi" w:cstheme="minorHAnsi"/>
          <w:sz w:val="22"/>
          <w:szCs w:val="22"/>
        </w:rPr>
        <w:t xml:space="preserve"> </w:t>
      </w:r>
      <w:r w:rsidR="008944F1" w:rsidRPr="006805FC">
        <w:rPr>
          <w:rFonts w:asciiTheme="minorHAnsi" w:hAnsiTheme="minorHAnsi" w:cstheme="minorHAnsi"/>
          <w:sz w:val="22"/>
          <w:szCs w:val="22"/>
        </w:rPr>
        <w:t>5</w:t>
      </w:r>
      <w:r w:rsidRPr="006805FC">
        <w:rPr>
          <w:rFonts w:asciiTheme="minorHAnsi" w:hAnsiTheme="minorHAnsi" w:cstheme="minorHAnsi"/>
          <w:sz w:val="22"/>
          <w:szCs w:val="22"/>
        </w:rPr>
        <w:t>,</w:t>
      </w:r>
      <w:r w:rsidR="008944F1" w:rsidRPr="006805FC">
        <w:rPr>
          <w:rFonts w:asciiTheme="minorHAnsi" w:hAnsiTheme="minorHAnsi" w:cstheme="minorHAnsi"/>
          <w:sz w:val="22"/>
          <w:szCs w:val="22"/>
        </w:rPr>
        <w:t>6</w:t>
      </w:r>
      <w:r w:rsidRPr="006805FC">
        <w:rPr>
          <w:rFonts w:asciiTheme="minorHAnsi" w:hAnsiTheme="minorHAnsi" w:cstheme="minorHAnsi"/>
          <w:sz w:val="22"/>
          <w:szCs w:val="22"/>
        </w:rPr>
        <w:t xml:space="preserve"> miliarda. Firma zatrudnia około 3</w:t>
      </w:r>
      <w:r w:rsidR="00CF6B6C" w:rsidRPr="006805FC">
        <w:rPr>
          <w:rFonts w:asciiTheme="minorHAnsi" w:hAnsiTheme="minorHAnsi" w:cstheme="minorHAnsi"/>
          <w:sz w:val="22"/>
          <w:szCs w:val="22"/>
        </w:rPr>
        <w:t>80</w:t>
      </w:r>
      <w:r w:rsidRPr="006805FC">
        <w:rPr>
          <w:rFonts w:asciiTheme="minorHAnsi" w:hAnsiTheme="minorHAnsi" w:cstheme="minorHAnsi"/>
          <w:sz w:val="22"/>
          <w:szCs w:val="22"/>
        </w:rPr>
        <w:t xml:space="preserve"> tysięcy pracowników na całym świecie. Więcej informacji można znaleźć na stronie: </w:t>
      </w:r>
      <w:hyperlink r:id="rId12" w:history="1">
        <w:r w:rsidRPr="006805FC">
          <w:rPr>
            <w:rFonts w:asciiTheme="minorHAnsi" w:hAnsiTheme="minorHAnsi" w:cstheme="minorHAnsi"/>
            <w:sz w:val="22"/>
            <w:szCs w:val="22"/>
          </w:rPr>
          <w:t>http://www.siemens.com</w:t>
        </w:r>
      </w:hyperlink>
      <w:r w:rsidRPr="006805FC">
        <w:rPr>
          <w:rFonts w:asciiTheme="minorHAnsi" w:hAnsiTheme="minorHAnsi" w:cstheme="minorHAnsi"/>
          <w:sz w:val="22"/>
          <w:szCs w:val="22"/>
        </w:rPr>
        <w:t>.</w:t>
      </w:r>
    </w:p>
    <w:sectPr w:rsidR="00131B54" w:rsidRPr="006805F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07" w:right="1133" w:bottom="851" w:left="1134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36D43" w16cex:dateUtc="2020-06-16T14:09:00Z"/>
  <w16cex:commentExtensible w16cex:durableId="2294B648" w16cex:dateUtc="2020-06-17T13:33:00Z"/>
  <w16cex:commentExtensible w16cex:durableId="229370A7" w16cex:dateUtc="2020-06-16T14:24:00Z"/>
  <w16cex:commentExtensible w16cex:durableId="229376C5" w16cex:dateUtc="2020-06-16T14:50:00Z"/>
  <w16cex:commentExtensible w16cex:durableId="22937DFC" w16cex:dateUtc="2020-06-16T15:21:00Z"/>
  <w16cex:commentExtensible w16cex:durableId="22937C1C" w16cex:dateUtc="2020-06-16T15:13:00Z"/>
  <w16cex:commentExtensible w16cex:durableId="22937CD6" w16cex:dateUtc="2020-06-16T15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81E20E" w16cid:durableId="22936D43"/>
  <w16cid:commentId w16cid:paraId="2165607D" w16cid:durableId="2294B648"/>
  <w16cid:commentId w16cid:paraId="55D6478A" w16cid:durableId="229370A7"/>
  <w16cid:commentId w16cid:paraId="65755C80" w16cid:durableId="229376C5"/>
  <w16cid:commentId w16cid:paraId="25546D26" w16cid:durableId="22936CD2"/>
  <w16cid:commentId w16cid:paraId="697BE0C9" w16cid:durableId="22937DFC"/>
  <w16cid:commentId w16cid:paraId="68A9E72A" w16cid:durableId="22937C1C"/>
  <w16cid:commentId w16cid:paraId="3EDAD01B" w16cid:durableId="22937C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B2749" w14:textId="77777777" w:rsidR="00C465A1" w:rsidRDefault="00C465A1">
      <w:r>
        <w:separator/>
      </w:r>
    </w:p>
  </w:endnote>
  <w:endnote w:type="continuationSeparator" w:id="0">
    <w:p w14:paraId="44EDC369" w14:textId="77777777" w:rsidR="00C465A1" w:rsidRDefault="00C4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emens Sans">
    <w:altName w:val="Times New Roman"/>
    <w:charset w:val="EE"/>
    <w:family w:val="auto"/>
    <w:pitch w:val="variable"/>
    <w:sig w:usb0="A00002FF" w:usb1="0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4592E" w14:textId="77777777" w:rsidR="004234E0" w:rsidRDefault="004234E0">
    <w:pPr>
      <w:pStyle w:val="scforgzeile"/>
      <w:rPr>
        <w:rFonts w:ascii="Siemens Sans" w:hAnsi="Siemens Sans"/>
      </w:rPr>
    </w:pPr>
    <w:r>
      <w:t>Unrestricted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6"/>
      <w:gridCol w:w="2268"/>
      <w:gridCol w:w="2552"/>
    </w:tblGrid>
    <w:tr w:rsidR="004234E0" w:rsidRPr="00D07A87" w14:paraId="44619500" w14:textId="77777777">
      <w:trPr>
        <w:cantSplit/>
        <w:trHeight w:hRule="exact" w:val="357"/>
      </w:trPr>
      <w:tc>
        <w:tcPr>
          <w:tcW w:w="10206" w:type="dxa"/>
          <w:gridSpan w:val="3"/>
        </w:tcPr>
        <w:p w14:paraId="522B2B72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D2E83FD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C8A5700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42388FE3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7" w:name="scf_leit_brief"/>
          <w:r>
            <w:rPr>
              <w:rFonts w:ascii="Siemens Sans" w:hAnsi="Siemens Sans"/>
            </w:rPr>
            <w:t>Letter of</w:t>
          </w:r>
          <w:bookmarkEnd w:id="7"/>
        </w:p>
        <w:p w14:paraId="0EF4DF18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8" w:name="scf_leit_an"/>
          <w:r>
            <w:rPr>
              <w:rFonts w:ascii="Siemens Sans" w:hAnsi="Siemens Sans"/>
            </w:rPr>
            <w:t>to</w:t>
          </w:r>
          <w:bookmarkEnd w:id="8"/>
        </w:p>
        <w:p w14:paraId="631F5736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9" w:name="scf_leit_uz"/>
          <w:r>
            <w:rPr>
              <w:rFonts w:ascii="Siemens Sans" w:hAnsi="Siemens Sans"/>
            </w:rPr>
            <w:t>Our reference</w:t>
          </w:r>
          <w:bookmarkEnd w:id="9"/>
        </w:p>
      </w:tc>
    </w:tr>
    <w:tr w:rsidR="004234E0" w:rsidRPr="00D07A87" w14:paraId="1D27EF03" w14:textId="77777777">
      <w:trPr>
        <w:cantSplit/>
        <w:trHeight w:val="567"/>
      </w:trPr>
      <w:tc>
        <w:tcPr>
          <w:tcW w:w="5386" w:type="dxa"/>
          <w:tcMar>
            <w:right w:w="113" w:type="dxa"/>
          </w:tcMar>
        </w:tcPr>
        <w:p w14:paraId="6E9DE76E" w14:textId="77777777" w:rsidR="004234E0" w:rsidRDefault="004234E0">
          <w:pPr>
            <w:pStyle w:val="scfFu1-4"/>
            <w:rPr>
              <w:rFonts w:ascii="Siemens Sans" w:hAnsi="Siemens Sans"/>
              <w:b/>
              <w:lang w:val="fr-FR"/>
            </w:rPr>
          </w:pPr>
          <w:r>
            <w:rPr>
              <w:rFonts w:ascii="Siemens Sans" w:hAnsi="Siemens Sans"/>
              <w:b/>
              <w:lang w:val="fr-FR"/>
            </w:rPr>
            <w:t>Siemens Finance Sp. z o.o.</w:t>
          </w:r>
        </w:p>
        <w:p w14:paraId="3AC45D46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 xml:space="preserve">CEO: Krzysztof Kuniewicz </w:t>
          </w:r>
        </w:p>
        <w:p w14:paraId="1A3B1914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>Sektor: Financial Services</w:t>
          </w:r>
        </w:p>
        <w:p w14:paraId="683DD527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</w:p>
      </w:tc>
      <w:tc>
        <w:tcPr>
          <w:tcW w:w="2268" w:type="dxa"/>
          <w:tcMar>
            <w:right w:w="113" w:type="dxa"/>
          </w:tcMar>
        </w:tcPr>
        <w:p w14:paraId="27271E8C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10" w:name="scf_Fuss3"/>
          <w:bookmarkEnd w:id="10"/>
          <w:r>
            <w:rPr>
              <w:rFonts w:ascii="Siemens Sans" w:hAnsi="Siemens Sans"/>
            </w:rPr>
            <w:t>ul. Żupnicza 11</w:t>
          </w:r>
        </w:p>
        <w:p w14:paraId="22CBB17C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03-821 Warszawa</w:t>
          </w:r>
        </w:p>
        <w:p w14:paraId="7B64A69A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Polska</w:t>
          </w:r>
        </w:p>
      </w:tc>
      <w:tc>
        <w:tcPr>
          <w:tcW w:w="2552" w:type="dxa"/>
        </w:tcPr>
        <w:p w14:paraId="5F5869DD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11" w:name="scf_Fuss4"/>
          <w:bookmarkEnd w:id="11"/>
          <w:r>
            <w:rPr>
              <w:rFonts w:ascii="Siemens Sans" w:hAnsi="Siemens Sans"/>
            </w:rPr>
            <w:t>Tel.: +48 228708681</w:t>
          </w:r>
        </w:p>
        <w:p w14:paraId="5DE2304E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Fax: +48 228708689</w:t>
          </w:r>
        </w:p>
        <w:p w14:paraId="49640530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www.siemens.pl/leasing</w:t>
          </w:r>
        </w:p>
      </w:tc>
    </w:tr>
    <w:tr w:rsidR="004234E0" w14:paraId="147D544A" w14:textId="77777777">
      <w:trPr>
        <w:cantSplit/>
      </w:trPr>
      <w:tc>
        <w:tcPr>
          <w:tcW w:w="10206" w:type="dxa"/>
          <w:gridSpan w:val="3"/>
          <w:tcMar>
            <w:top w:w="113" w:type="dxa"/>
            <w:left w:w="0" w:type="dxa"/>
            <w:bottom w:w="0" w:type="dxa"/>
            <w:right w:w="0" w:type="dxa"/>
          </w:tcMar>
        </w:tcPr>
        <w:p w14:paraId="20090123" w14:textId="77777777" w:rsidR="004234E0" w:rsidRDefault="004234E0">
          <w:pPr>
            <w:pStyle w:val="scfVorstand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spacing w:val="-2"/>
              <w:lang w:val="pl-PL"/>
            </w:rPr>
            <w:t xml:space="preserve">Siedziba spółki: ul. Żupnicza 11, 03-821 Warszawa, Zarząd: Krzysztof Kuniewicz, Aneta Depo-Staniszewska, Tomasz Klamecki, Prokurenci: Magdalena Kubik, Małgorzata Kreczmer-Gruchoła, Beata Kuczmarska-Gołda; Sąd Rejonowy dla m.st. Warszawy: XIII Wydział Gospodarczy Krajowego Rejestru Sądowego, Nr KRS 0000063579, </w:t>
          </w:r>
          <w:r>
            <w:rPr>
              <w:rFonts w:ascii="Siemens Sans" w:hAnsi="Siemens Sans"/>
              <w:lang w:val="pl-PL"/>
            </w:rPr>
            <w:t>Wysokość kapitału spółki: 58.500.000,- PLN</w:t>
          </w:r>
          <w:r>
            <w:rPr>
              <w:rFonts w:ascii="Siemens Sans" w:hAnsi="Siemens Sans"/>
              <w:bCs/>
              <w:lang w:val="pl-PL"/>
            </w:rPr>
            <w:t>, NIP: 526-020-87-63</w:t>
          </w:r>
        </w:p>
      </w:tc>
    </w:tr>
  </w:tbl>
  <w:p w14:paraId="271753AE" w14:textId="77777777" w:rsidR="004234E0" w:rsidRDefault="004234E0">
    <w:pPr>
      <w:pStyle w:val="scforgzeile"/>
      <w:rPr>
        <w:lang w:val="pl-PL"/>
      </w:rPr>
    </w:pPr>
  </w:p>
  <w:p w14:paraId="44F207E9" w14:textId="77777777" w:rsidR="004234E0" w:rsidRDefault="004234E0">
    <w:pPr>
      <w:pStyle w:val="scforgzeile"/>
      <w:rPr>
        <w:rFonts w:ascii="Siemens Sans" w:hAnsi="Siemens Sans"/>
      </w:rPr>
    </w:pPr>
    <w:r>
      <w:rPr>
        <w:lang w:val="pl-PL"/>
      </w:rPr>
      <w:tab/>
    </w:r>
    <w:r>
      <w:rPr>
        <w:rFonts w:ascii="Siemens Sans" w:hAnsi="Siemens Sans"/>
      </w:rPr>
      <w:t xml:space="preserve">Strona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PAGE  \* MERGEFORMAT </w:instrText>
    </w:r>
    <w:r>
      <w:rPr>
        <w:rFonts w:ascii="Siemens Sans" w:hAnsi="Siemens Sans"/>
      </w:rPr>
      <w:fldChar w:fldCharType="separate"/>
    </w:r>
    <w:r>
      <w:rPr>
        <w:rFonts w:ascii="Siemens Sans" w:hAnsi="Siemens Sans"/>
      </w:rPr>
      <w:t>1</w:t>
    </w:r>
    <w:r>
      <w:rPr>
        <w:rFonts w:ascii="Siemens Sans" w:hAnsi="Siemens Sans"/>
      </w:rPr>
      <w:fldChar w:fldCharType="end"/>
    </w:r>
    <w:r>
      <w:rPr>
        <w:rFonts w:ascii="Siemens Sans" w:hAnsi="Siemens Sans"/>
      </w:rPr>
      <w:t xml:space="preserve"> z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NUMPAGES  \* MERGEFORMAT </w:instrText>
    </w:r>
    <w:r>
      <w:rPr>
        <w:rFonts w:ascii="Siemens Sans" w:hAnsi="Siemens Sans"/>
      </w:rPr>
      <w:fldChar w:fldCharType="separate"/>
    </w:r>
    <w:r w:rsidR="006B52A0">
      <w:rPr>
        <w:rFonts w:ascii="Siemens Sans" w:hAnsi="Siemens Sans"/>
      </w:rPr>
      <w:t>3</w:t>
    </w:r>
    <w:r>
      <w:rPr>
        <w:rFonts w:ascii="Siemens Sans" w:hAnsi="Siemens San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CA558" w14:textId="77777777" w:rsidR="00C465A1" w:rsidRDefault="00C465A1">
      <w:r>
        <w:separator/>
      </w:r>
    </w:p>
  </w:footnote>
  <w:footnote w:type="continuationSeparator" w:id="0">
    <w:p w14:paraId="68F071CF" w14:textId="77777777" w:rsidR="00C465A1" w:rsidRDefault="00C46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536"/>
    </w:tblGrid>
    <w:tr w:rsidR="004234E0" w14:paraId="3AC9353A" w14:textId="77777777">
      <w:trPr>
        <w:cantSplit/>
        <w:trHeight w:hRule="exact" w:val="1077"/>
      </w:trPr>
      <w:tc>
        <w:tcPr>
          <w:tcW w:w="5387" w:type="dxa"/>
        </w:tcPr>
        <w:p w14:paraId="79310B64" w14:textId="5EED0136" w:rsidR="004234E0" w:rsidRPr="003C620F" w:rsidRDefault="003C620F">
          <w:pPr>
            <w:pStyle w:val="scfstandard"/>
            <w:rPr>
              <w:lang w:val="en-GB"/>
            </w:rPr>
          </w:pPr>
          <w:r>
            <w:rPr>
              <w:lang w:val="pl-PL" w:eastAsia="pl-PL"/>
            </w:rPr>
            <w:drawing>
              <wp:inline distT="0" distB="0" distL="0" distR="0" wp14:anchorId="2C31B5F3" wp14:editId="4F2F26B6">
                <wp:extent cx="1438910" cy="231775"/>
                <wp:effectExtent l="0" t="0" r="889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234E0" w:rsidRPr="003C620F">
            <w:rPr>
              <w:lang w:val="pl-PL" w:eastAsia="pl-PL"/>
            </w:rPr>
            <w:fldChar w:fldCharType="begin"/>
          </w:r>
          <w:r w:rsidR="004234E0">
            <w:rPr>
              <w:lang w:val="pl-PL" w:eastAsia="pl-PL"/>
            </w:rPr>
            <w:instrText xml:space="preserve"> REF  scf_marke  \* MERGEFORMAT </w:instrText>
          </w:r>
          <w:r w:rsidR="004234E0" w:rsidRPr="003C620F">
            <w:rPr>
              <w:lang w:val="pl-PL" w:eastAsia="pl-PL"/>
            </w:rPr>
            <w:fldChar w:fldCharType="end"/>
          </w:r>
        </w:p>
      </w:tc>
      <w:tc>
        <w:tcPr>
          <w:tcW w:w="4536" w:type="dxa"/>
        </w:tcPr>
        <w:p w14:paraId="698EF576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2C6B8CB4" w14:textId="77777777" w:rsidR="004234E0" w:rsidRDefault="004234E0">
          <w:pPr>
            <w:pStyle w:val="scfZweitekopfzeile"/>
            <w:ind w:right="429"/>
            <w:rPr>
              <w:rFonts w:ascii="Siemens Sans" w:hAnsi="Siemens Sans"/>
              <w:lang w:val="pl-PL"/>
            </w:rPr>
          </w:pPr>
        </w:p>
        <w:p w14:paraId="3501B141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1CF9D89E" w14:textId="77777777" w:rsidR="004234E0" w:rsidRDefault="004234E0">
          <w:pPr>
            <w:pStyle w:val="scfZweitekopfzeile"/>
            <w:jc w:val="right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>Materiał prasowy</w:t>
          </w:r>
        </w:p>
        <w:p w14:paraId="37F7DC3F" w14:textId="2592603B" w:rsidR="004234E0" w:rsidRDefault="00FD47E6">
          <w:pPr>
            <w:pStyle w:val="scfZweitekopfzeile"/>
            <w:jc w:val="right"/>
            <w:rPr>
              <w:lang w:val="pl-PL"/>
            </w:rPr>
          </w:pPr>
          <w:r>
            <w:rPr>
              <w:rFonts w:ascii="Siemens Sans" w:hAnsi="Siemens Sans"/>
              <w:lang w:val="pl-PL"/>
            </w:rPr>
            <w:t>Warszawa, czerwiec</w:t>
          </w:r>
          <w:r w:rsidR="00662892">
            <w:rPr>
              <w:rFonts w:ascii="Siemens Sans" w:hAnsi="Siemens Sans"/>
              <w:lang w:val="pl-PL"/>
            </w:rPr>
            <w:t xml:space="preserve"> 2020</w:t>
          </w:r>
          <w:r w:rsidR="004234E0">
            <w:rPr>
              <w:rFonts w:ascii="Siemens Sans" w:hAnsi="Siemens Sans"/>
              <w:lang w:val="pl-PL"/>
            </w:rPr>
            <w:t xml:space="preserve"> r.</w:t>
          </w:r>
        </w:p>
      </w:tc>
    </w:tr>
  </w:tbl>
  <w:p w14:paraId="540BD1D4" w14:textId="77777777" w:rsidR="004234E0" w:rsidRDefault="004234E0">
    <w:pPr>
      <w:pStyle w:val="scfZweitekopfzeile"/>
      <w:spacing w:line="14" w:lineRule="exact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2FD12" w14:textId="77777777" w:rsidR="004234E0" w:rsidRDefault="004234E0">
    <w:pPr>
      <w:pStyle w:val="scfZweitekopfzeile"/>
      <w:jc w:val="right"/>
      <w:rPr>
        <w:rFonts w:ascii="Siemens Sans" w:hAnsi="Siemens Sans"/>
        <w:lang w:val="pl-PL"/>
      </w:rPr>
    </w:pPr>
    <w:bookmarkStart w:id="6" w:name="scf_marke"/>
    <w:r>
      <w:rPr>
        <w:rFonts w:ascii="Siemens Sans" w:hAnsi="Siemens Sans"/>
        <w:lang w:val="pl-PL" w:eastAsia="pl-PL"/>
      </w:rPr>
      <w:drawing>
        <wp:inline distT="0" distB="0" distL="0" distR="0" wp14:anchorId="5F57BF10" wp14:editId="4449C2B9">
          <wp:extent cx="1441450" cy="228600"/>
          <wp:effectExtent l="0" t="0" r="0" b="0"/>
          <wp:docPr id="97" name="Obraz 97" descr="sie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sie_logo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  <w:r>
      <w:rPr>
        <w:rFonts w:ascii="Siemens Sans" w:hAnsi="Siemens Sans"/>
        <w:lang w:val="pl-PL"/>
      </w:rPr>
      <w:t xml:space="preserve">Pismo z dnia </w:t>
    </w:r>
    <w:r>
      <w:fldChar w:fldCharType="begin"/>
    </w:r>
    <w:r>
      <w:rPr>
        <w:lang w:val="pl-PL"/>
      </w:rPr>
      <w:instrText xml:space="preserve"> STYLEREF  scf_datum  \* MERGEFORMAT </w:instrText>
    </w:r>
    <w:r>
      <w:fldChar w:fldCharType="separate"/>
    </w:r>
    <w:r w:rsidR="006B52A0">
      <w:rPr>
        <w:b/>
        <w:bCs/>
        <w:lang w:val="pl-PL"/>
      </w:rPr>
      <w:t>Błąd! W dokumencie nie ma tekstu o podanym stylu.</w:t>
    </w:r>
    <w:r>
      <w:fldChar w:fldCharType="end"/>
    </w:r>
  </w:p>
  <w:p w14:paraId="6EF37D51" w14:textId="77777777" w:rsidR="004234E0" w:rsidRDefault="004234E0">
    <w:pPr>
      <w:pStyle w:val="Nagwek"/>
      <w:spacing w:line="14" w:lineRule="exact"/>
      <w:jc w:val="right"/>
    </w:pPr>
    <w:r>
      <w:rPr>
        <w:rFonts w:ascii="Siemens Sans" w:hAnsi="Siemens Sans"/>
      </w:rPr>
      <w:t xml:space="preserve">Do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STYLEREF scf_an \* CHARFORMAT </w:instrText>
    </w:r>
    <w:r>
      <w:rPr>
        <w:rFonts w:ascii="Siemens Sans" w:hAnsi="Siemens Sans"/>
      </w:rPr>
      <w:fldChar w:fldCharType="separate"/>
    </w:r>
    <w:r w:rsidR="006B52A0">
      <w:rPr>
        <w:rFonts w:ascii="Siemens Sans" w:hAnsi="Siemens Sans"/>
        <w:b/>
        <w:bCs/>
      </w:rPr>
      <w:t>Błąd! W dokumencie nie ma tekstu o podanym stylu.</w:t>
    </w:r>
    <w:r>
      <w:rPr>
        <w:rFonts w:ascii="Siemens Sans" w:hAnsi="Siemens Sans"/>
      </w:rPr>
      <w:fldChar w:fldCharType="end"/>
    </w:r>
    <w:r>
      <w:rPr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CBFFAFD" wp14:editId="4C0C9633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F6B2B" w14:textId="77777777" w:rsidR="004234E0" w:rsidRDefault="004234E0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CBFFA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.1pt;margin-top:270.2pt;width:5.95pt;height:14.1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6c+gEAAN0DAAAOAAAAZHJzL2Uyb0RvYy54bWysU8tu2zAQvBfoPxC817KDOm4Fy0HqwEWB&#10;9AEk/QCKoiSiFJdd0pbcr++Skty0vQXRgViSu8Od2dH2ZugMOyn0GmzBV4slZ8pKqLRtCv798fDm&#10;HWc+CFsJA1YV/Kw8v9m9frXtXa6uoAVTKWQEYn3eu4K3Ibg8y7xsVSf8ApyydFkDdiLQFpusQtET&#10;emeyq+XyOusBK4cglfd0ejde8l3Cr2slw9e69iowU3DqLaQV01rGNdttRd6gcK2WUxviGV10Qlt6&#10;9AJ1J4JgR9T/QXVaIniow0JCl0Fda6kSB2KzWv7D5qEVTiUuJI53F5n8y8HKL6dvyHRV8LecWdHR&#10;iB7VENgHGNgqqtM7n1PSg6O0MNAxTTkx9e4e5A/PLOxbYRt1iwh9q0RF3aXK7EnpiOMjSNl/hoqe&#10;EccACWiosYvSkRiM0GlK58tkYiuSDjfr9fWaM0k3q837zXIdW8tEPtc69OGjgo7FoOBIc0/Y4nTv&#10;w5g6p8SnPBhdHbQxaYNNuTfIToI8ckjfhP5XmrEx2UIsGxHjSSIZeY0Mw1AOk2glVGeiizB6jv4R&#10;ClrAX5z15LeC+59HgYoz88mSZNGcc4BzUM6BsJJKCx44G8N9GE18dKiblpDHoVi4JVlrnThH/ccu&#10;pj7JQ0m1ye/RpE/3KevPX7n7DQAA//8DAFBLAwQUAAYACAAAACEAWzxYet8AAAAJAQAADwAAAGRy&#10;cy9kb3ducmV2LnhtbEyPwU6DQBCG7ya+w2ZMvBi7lCAisjTa6q0eWpuet+wIRHaWsEuhb+940uPM&#10;fPnn+4vVbDtxxsG3jhQsFxEIpMqZlmoFh8/3+wyED5qM7hyhggt6WJXXV4XOjZtoh+d9qAWHkM+1&#10;giaEPpfSVw1a7ReuR+LblxusDjwOtTSDnjjcdjKOolRa3RJ/aHSP6war7/1oFaSbYZx2tL7bHN62&#10;+qOv4+Pr5ajU7c388gwi4Bz+YPjVZ3Uo2enkRjJedAqyOGZSwUMSJSAYeEqWIE68SLNHkGUh/zco&#10;fwAAAP//AwBQSwECLQAUAAYACAAAACEAtoM4kv4AAADhAQAAEwAAAAAAAAAAAAAAAAAAAAAAW0Nv&#10;bnRlbnRfVHlwZXNdLnhtbFBLAQItABQABgAIAAAAIQA4/SH/1gAAAJQBAAALAAAAAAAAAAAAAAAA&#10;AC8BAABfcmVscy8ucmVsc1BLAQItABQABgAIAAAAIQDUBW6c+gEAAN0DAAAOAAAAAAAAAAAAAAAA&#10;AC4CAABkcnMvZTJvRG9jLnhtbFBLAQItABQABgAIAAAAIQBbPFh63wAAAAkBAAAPAAAAAAAAAAAA&#10;AAAAAFQEAABkcnMvZG93bnJldi54bWxQSwUGAAAAAAQABADzAAAAYAUAAAAA&#10;" stroked="f">
              <v:textbox inset="0,0,0,0">
                <w:txbxContent>
                  <w:p w14:paraId="7E4F6B2B" w14:textId="77777777" w:rsidR="004234E0" w:rsidRDefault="004234E0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2692"/>
    <w:multiLevelType w:val="hybridMultilevel"/>
    <w:tmpl w:val="A7420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5F51"/>
    <w:multiLevelType w:val="hybridMultilevel"/>
    <w:tmpl w:val="0896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B4672"/>
    <w:multiLevelType w:val="hybridMultilevel"/>
    <w:tmpl w:val="539882B8"/>
    <w:lvl w:ilvl="0" w:tplc="16900C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86141"/>
    <w:multiLevelType w:val="hybridMultilevel"/>
    <w:tmpl w:val="F0F8DAC6"/>
    <w:lvl w:ilvl="0" w:tplc="7654E33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F64EE"/>
    <w:multiLevelType w:val="hybridMultilevel"/>
    <w:tmpl w:val="8F04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47151"/>
    <w:multiLevelType w:val="hybridMultilevel"/>
    <w:tmpl w:val="753E2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833BA"/>
    <w:multiLevelType w:val="hybridMultilevel"/>
    <w:tmpl w:val="614E48B6"/>
    <w:lvl w:ilvl="0" w:tplc="29F62C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67BDF"/>
    <w:multiLevelType w:val="hybridMultilevel"/>
    <w:tmpl w:val="33302FF2"/>
    <w:lvl w:ilvl="0" w:tplc="04150001">
      <w:start w:val="6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15F6C"/>
    <w:multiLevelType w:val="hybridMultilevel"/>
    <w:tmpl w:val="E3DA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054D3"/>
    <w:multiLevelType w:val="hybridMultilevel"/>
    <w:tmpl w:val="64602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53A55"/>
    <w:multiLevelType w:val="hybridMultilevel"/>
    <w:tmpl w:val="A5ECBF90"/>
    <w:lvl w:ilvl="0" w:tplc="3DF8B5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B30D5"/>
    <w:multiLevelType w:val="hybridMultilevel"/>
    <w:tmpl w:val="9D8A1EEA"/>
    <w:lvl w:ilvl="0" w:tplc="F9C6AF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F055C"/>
    <w:multiLevelType w:val="hybridMultilevel"/>
    <w:tmpl w:val="700AC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05AA2"/>
    <w:multiLevelType w:val="hybridMultilevel"/>
    <w:tmpl w:val="95125386"/>
    <w:lvl w:ilvl="0" w:tplc="A5F89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0A8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E43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661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AC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45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61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464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4A7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43805"/>
    <w:multiLevelType w:val="hybridMultilevel"/>
    <w:tmpl w:val="A706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11"/>
  </w:num>
  <w:num w:numId="9">
    <w:abstractNumId w:val="13"/>
  </w:num>
  <w:num w:numId="10">
    <w:abstractNumId w:val="8"/>
  </w:num>
  <w:num w:numId="11">
    <w:abstractNumId w:val="14"/>
  </w:num>
  <w:num w:numId="12">
    <w:abstractNumId w:val="4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CF"/>
    <w:rsid w:val="00002854"/>
    <w:rsid w:val="00003D25"/>
    <w:rsid w:val="000074F4"/>
    <w:rsid w:val="00007E70"/>
    <w:rsid w:val="0001370F"/>
    <w:rsid w:val="00021832"/>
    <w:rsid w:val="00025DBE"/>
    <w:rsid w:val="00027A15"/>
    <w:rsid w:val="00030B82"/>
    <w:rsid w:val="0003663C"/>
    <w:rsid w:val="00044485"/>
    <w:rsid w:val="0004527D"/>
    <w:rsid w:val="000456E3"/>
    <w:rsid w:val="00046DCD"/>
    <w:rsid w:val="00047EC6"/>
    <w:rsid w:val="00052B37"/>
    <w:rsid w:val="000533B8"/>
    <w:rsid w:val="00062A5E"/>
    <w:rsid w:val="0006414E"/>
    <w:rsid w:val="00064970"/>
    <w:rsid w:val="00064FD6"/>
    <w:rsid w:val="00066962"/>
    <w:rsid w:val="0006780A"/>
    <w:rsid w:val="00070F1D"/>
    <w:rsid w:val="00071034"/>
    <w:rsid w:val="00071DEB"/>
    <w:rsid w:val="000730D6"/>
    <w:rsid w:val="00073330"/>
    <w:rsid w:val="00075E82"/>
    <w:rsid w:val="00076017"/>
    <w:rsid w:val="0007621B"/>
    <w:rsid w:val="00082551"/>
    <w:rsid w:val="000847F9"/>
    <w:rsid w:val="0008525A"/>
    <w:rsid w:val="00090B18"/>
    <w:rsid w:val="00092465"/>
    <w:rsid w:val="000926B4"/>
    <w:rsid w:val="000947FB"/>
    <w:rsid w:val="00097129"/>
    <w:rsid w:val="000A60D7"/>
    <w:rsid w:val="000B00AF"/>
    <w:rsid w:val="000B08F7"/>
    <w:rsid w:val="000B0BD5"/>
    <w:rsid w:val="000B1164"/>
    <w:rsid w:val="000B337C"/>
    <w:rsid w:val="000B4ADE"/>
    <w:rsid w:val="000B6A28"/>
    <w:rsid w:val="000B7CDE"/>
    <w:rsid w:val="000C10AC"/>
    <w:rsid w:val="000C4F6E"/>
    <w:rsid w:val="000C6533"/>
    <w:rsid w:val="000C773C"/>
    <w:rsid w:val="000D0F8A"/>
    <w:rsid w:val="000D23A0"/>
    <w:rsid w:val="000D3CC7"/>
    <w:rsid w:val="000D4288"/>
    <w:rsid w:val="000D6CB2"/>
    <w:rsid w:val="000E157A"/>
    <w:rsid w:val="000E2295"/>
    <w:rsid w:val="000E4683"/>
    <w:rsid w:val="000E69F6"/>
    <w:rsid w:val="000F0CA9"/>
    <w:rsid w:val="000F11DF"/>
    <w:rsid w:val="000F2F6C"/>
    <w:rsid w:val="000F4CF6"/>
    <w:rsid w:val="000F5BA6"/>
    <w:rsid w:val="000F61C0"/>
    <w:rsid w:val="001021D4"/>
    <w:rsid w:val="001042E1"/>
    <w:rsid w:val="0010460B"/>
    <w:rsid w:val="00107119"/>
    <w:rsid w:val="00107BCC"/>
    <w:rsid w:val="001107B9"/>
    <w:rsid w:val="00111739"/>
    <w:rsid w:val="00116D07"/>
    <w:rsid w:val="00117223"/>
    <w:rsid w:val="001175C4"/>
    <w:rsid w:val="001260F0"/>
    <w:rsid w:val="0012709C"/>
    <w:rsid w:val="00131355"/>
    <w:rsid w:val="00131B54"/>
    <w:rsid w:val="0013326B"/>
    <w:rsid w:val="001420E1"/>
    <w:rsid w:val="001423F0"/>
    <w:rsid w:val="00143BB0"/>
    <w:rsid w:val="00144796"/>
    <w:rsid w:val="00145A29"/>
    <w:rsid w:val="00150737"/>
    <w:rsid w:val="00153D67"/>
    <w:rsid w:val="00155DE0"/>
    <w:rsid w:val="0015768F"/>
    <w:rsid w:val="00161F9D"/>
    <w:rsid w:val="00163316"/>
    <w:rsid w:val="001667E6"/>
    <w:rsid w:val="0017276A"/>
    <w:rsid w:val="001729C5"/>
    <w:rsid w:val="00177711"/>
    <w:rsid w:val="00182B61"/>
    <w:rsid w:val="0019237F"/>
    <w:rsid w:val="001935E2"/>
    <w:rsid w:val="0019785F"/>
    <w:rsid w:val="001A0131"/>
    <w:rsid w:val="001A184D"/>
    <w:rsid w:val="001A466A"/>
    <w:rsid w:val="001B0626"/>
    <w:rsid w:val="001B0D68"/>
    <w:rsid w:val="001B4A1E"/>
    <w:rsid w:val="001B6A7A"/>
    <w:rsid w:val="001C0B76"/>
    <w:rsid w:val="001C15A4"/>
    <w:rsid w:val="001C210C"/>
    <w:rsid w:val="001C5627"/>
    <w:rsid w:val="001C5BFE"/>
    <w:rsid w:val="001C7E54"/>
    <w:rsid w:val="001D13C1"/>
    <w:rsid w:val="001D15A6"/>
    <w:rsid w:val="001D27ED"/>
    <w:rsid w:val="001D64FA"/>
    <w:rsid w:val="001E00E7"/>
    <w:rsid w:val="001E02C8"/>
    <w:rsid w:val="001E1648"/>
    <w:rsid w:val="001E68DC"/>
    <w:rsid w:val="001F4C82"/>
    <w:rsid w:val="001F5C40"/>
    <w:rsid w:val="001F5EA8"/>
    <w:rsid w:val="00201038"/>
    <w:rsid w:val="002022E2"/>
    <w:rsid w:val="00203447"/>
    <w:rsid w:val="00204F6F"/>
    <w:rsid w:val="00207BCF"/>
    <w:rsid w:val="002119F7"/>
    <w:rsid w:val="00216293"/>
    <w:rsid w:val="002163D4"/>
    <w:rsid w:val="00221AF0"/>
    <w:rsid w:val="00221E0E"/>
    <w:rsid w:val="002220DD"/>
    <w:rsid w:val="0022233A"/>
    <w:rsid w:val="002248D5"/>
    <w:rsid w:val="00230FF8"/>
    <w:rsid w:val="00233B94"/>
    <w:rsid w:val="00234BDF"/>
    <w:rsid w:val="0023626D"/>
    <w:rsid w:val="0023672F"/>
    <w:rsid w:val="00240CAF"/>
    <w:rsid w:val="00241AF5"/>
    <w:rsid w:val="002439DB"/>
    <w:rsid w:val="002473B1"/>
    <w:rsid w:val="00250695"/>
    <w:rsid w:val="0025092B"/>
    <w:rsid w:val="002511B2"/>
    <w:rsid w:val="00252599"/>
    <w:rsid w:val="00252D3D"/>
    <w:rsid w:val="002545E2"/>
    <w:rsid w:val="00256F0A"/>
    <w:rsid w:val="00260E3F"/>
    <w:rsid w:val="00262012"/>
    <w:rsid w:val="00267738"/>
    <w:rsid w:val="00271D09"/>
    <w:rsid w:val="00272040"/>
    <w:rsid w:val="00280E2A"/>
    <w:rsid w:val="002815B6"/>
    <w:rsid w:val="0028175E"/>
    <w:rsid w:val="002827C7"/>
    <w:rsid w:val="00282A6A"/>
    <w:rsid w:val="00283781"/>
    <w:rsid w:val="00283A4A"/>
    <w:rsid w:val="00287CE3"/>
    <w:rsid w:val="00287DF9"/>
    <w:rsid w:val="00290EBA"/>
    <w:rsid w:val="00292842"/>
    <w:rsid w:val="00292EE3"/>
    <w:rsid w:val="002A498A"/>
    <w:rsid w:val="002A778A"/>
    <w:rsid w:val="002B16CD"/>
    <w:rsid w:val="002B3237"/>
    <w:rsid w:val="002B6B1B"/>
    <w:rsid w:val="002C02BF"/>
    <w:rsid w:val="002C0B21"/>
    <w:rsid w:val="002C6AA0"/>
    <w:rsid w:val="002D180B"/>
    <w:rsid w:val="002D4221"/>
    <w:rsid w:val="002E06B0"/>
    <w:rsid w:val="002E151E"/>
    <w:rsid w:val="002E1C04"/>
    <w:rsid w:val="002E2C22"/>
    <w:rsid w:val="002E5279"/>
    <w:rsid w:val="002E71FA"/>
    <w:rsid w:val="002F1FDE"/>
    <w:rsid w:val="002F4F02"/>
    <w:rsid w:val="002F6A01"/>
    <w:rsid w:val="00306D5E"/>
    <w:rsid w:val="00307013"/>
    <w:rsid w:val="00310E1A"/>
    <w:rsid w:val="00312648"/>
    <w:rsid w:val="003126BF"/>
    <w:rsid w:val="003136D4"/>
    <w:rsid w:val="003138C0"/>
    <w:rsid w:val="00313960"/>
    <w:rsid w:val="003171D4"/>
    <w:rsid w:val="00320547"/>
    <w:rsid w:val="0032281C"/>
    <w:rsid w:val="0032315C"/>
    <w:rsid w:val="0032486F"/>
    <w:rsid w:val="00325895"/>
    <w:rsid w:val="00331262"/>
    <w:rsid w:val="003331E1"/>
    <w:rsid w:val="003334B1"/>
    <w:rsid w:val="00333F04"/>
    <w:rsid w:val="003409A2"/>
    <w:rsid w:val="003431E9"/>
    <w:rsid w:val="0034342F"/>
    <w:rsid w:val="0034557A"/>
    <w:rsid w:val="003464FF"/>
    <w:rsid w:val="00346C04"/>
    <w:rsid w:val="0035080C"/>
    <w:rsid w:val="00353134"/>
    <w:rsid w:val="00353828"/>
    <w:rsid w:val="00361C55"/>
    <w:rsid w:val="00371502"/>
    <w:rsid w:val="00373B09"/>
    <w:rsid w:val="003776F7"/>
    <w:rsid w:val="003834A0"/>
    <w:rsid w:val="00384345"/>
    <w:rsid w:val="003873F5"/>
    <w:rsid w:val="00387D14"/>
    <w:rsid w:val="00391D48"/>
    <w:rsid w:val="0039775C"/>
    <w:rsid w:val="003A1C4E"/>
    <w:rsid w:val="003A3DB2"/>
    <w:rsid w:val="003A57B5"/>
    <w:rsid w:val="003A60AB"/>
    <w:rsid w:val="003A678F"/>
    <w:rsid w:val="003A7B1D"/>
    <w:rsid w:val="003C1E77"/>
    <w:rsid w:val="003C3E15"/>
    <w:rsid w:val="003C620F"/>
    <w:rsid w:val="003C7711"/>
    <w:rsid w:val="003D0BC0"/>
    <w:rsid w:val="003D1AFD"/>
    <w:rsid w:val="003D280B"/>
    <w:rsid w:val="003D75BD"/>
    <w:rsid w:val="003E53CD"/>
    <w:rsid w:val="003E57D8"/>
    <w:rsid w:val="003F0C76"/>
    <w:rsid w:val="003F3041"/>
    <w:rsid w:val="004002A7"/>
    <w:rsid w:val="0040284B"/>
    <w:rsid w:val="00404FFC"/>
    <w:rsid w:val="00405F2C"/>
    <w:rsid w:val="00406F9A"/>
    <w:rsid w:val="004071D5"/>
    <w:rsid w:val="00412C15"/>
    <w:rsid w:val="004140E4"/>
    <w:rsid w:val="004144C1"/>
    <w:rsid w:val="004177C6"/>
    <w:rsid w:val="00420032"/>
    <w:rsid w:val="0042162E"/>
    <w:rsid w:val="004234E0"/>
    <w:rsid w:val="0043006A"/>
    <w:rsid w:val="00436348"/>
    <w:rsid w:val="00436A7D"/>
    <w:rsid w:val="004430E9"/>
    <w:rsid w:val="00443877"/>
    <w:rsid w:val="00445F24"/>
    <w:rsid w:val="00446EA7"/>
    <w:rsid w:val="00452846"/>
    <w:rsid w:val="004537CD"/>
    <w:rsid w:val="00455FFE"/>
    <w:rsid w:val="00456A4A"/>
    <w:rsid w:val="004570A3"/>
    <w:rsid w:val="00457D07"/>
    <w:rsid w:val="004601DB"/>
    <w:rsid w:val="004616C5"/>
    <w:rsid w:val="004637CE"/>
    <w:rsid w:val="004650A1"/>
    <w:rsid w:val="004656B5"/>
    <w:rsid w:val="004715A1"/>
    <w:rsid w:val="004735A6"/>
    <w:rsid w:val="004736DF"/>
    <w:rsid w:val="00473ECF"/>
    <w:rsid w:val="00474D24"/>
    <w:rsid w:val="00480F1A"/>
    <w:rsid w:val="0048120A"/>
    <w:rsid w:val="00482D58"/>
    <w:rsid w:val="00491B33"/>
    <w:rsid w:val="004A01DE"/>
    <w:rsid w:val="004A2AC0"/>
    <w:rsid w:val="004A3D7D"/>
    <w:rsid w:val="004B0550"/>
    <w:rsid w:val="004B1719"/>
    <w:rsid w:val="004B2402"/>
    <w:rsid w:val="004C0378"/>
    <w:rsid w:val="004C30ED"/>
    <w:rsid w:val="004C6137"/>
    <w:rsid w:val="004C6D01"/>
    <w:rsid w:val="004C6DA3"/>
    <w:rsid w:val="004D1785"/>
    <w:rsid w:val="004D3CF6"/>
    <w:rsid w:val="004D541F"/>
    <w:rsid w:val="004E0E36"/>
    <w:rsid w:val="004E194A"/>
    <w:rsid w:val="004E2FE2"/>
    <w:rsid w:val="004E334D"/>
    <w:rsid w:val="004E3D12"/>
    <w:rsid w:val="004E44F1"/>
    <w:rsid w:val="004E4510"/>
    <w:rsid w:val="004F1456"/>
    <w:rsid w:val="004F3918"/>
    <w:rsid w:val="004F4626"/>
    <w:rsid w:val="004F49B0"/>
    <w:rsid w:val="004F4C28"/>
    <w:rsid w:val="004F7092"/>
    <w:rsid w:val="005008AA"/>
    <w:rsid w:val="00502E91"/>
    <w:rsid w:val="00506662"/>
    <w:rsid w:val="00510055"/>
    <w:rsid w:val="005109D3"/>
    <w:rsid w:val="00516C67"/>
    <w:rsid w:val="005232F1"/>
    <w:rsid w:val="00525A3D"/>
    <w:rsid w:val="00525C13"/>
    <w:rsid w:val="00525F83"/>
    <w:rsid w:val="005369D0"/>
    <w:rsid w:val="00536ECF"/>
    <w:rsid w:val="005411A7"/>
    <w:rsid w:val="00544BC2"/>
    <w:rsid w:val="00546C6D"/>
    <w:rsid w:val="005479F3"/>
    <w:rsid w:val="00547BE0"/>
    <w:rsid w:val="00562D05"/>
    <w:rsid w:val="00562F18"/>
    <w:rsid w:val="005650CC"/>
    <w:rsid w:val="00574917"/>
    <w:rsid w:val="00575D34"/>
    <w:rsid w:val="00581287"/>
    <w:rsid w:val="00581DA3"/>
    <w:rsid w:val="00581DD6"/>
    <w:rsid w:val="0058484B"/>
    <w:rsid w:val="00586B25"/>
    <w:rsid w:val="00586F21"/>
    <w:rsid w:val="0058746D"/>
    <w:rsid w:val="005923C6"/>
    <w:rsid w:val="00593036"/>
    <w:rsid w:val="00594641"/>
    <w:rsid w:val="005A35CB"/>
    <w:rsid w:val="005A412F"/>
    <w:rsid w:val="005A47AF"/>
    <w:rsid w:val="005A4A00"/>
    <w:rsid w:val="005A5C81"/>
    <w:rsid w:val="005B2350"/>
    <w:rsid w:val="005B317B"/>
    <w:rsid w:val="005B3F0F"/>
    <w:rsid w:val="005C3CB5"/>
    <w:rsid w:val="005C3DFB"/>
    <w:rsid w:val="005C4F7A"/>
    <w:rsid w:val="005C77A3"/>
    <w:rsid w:val="005C7DF1"/>
    <w:rsid w:val="005D02C2"/>
    <w:rsid w:val="005D1E66"/>
    <w:rsid w:val="005D3AD1"/>
    <w:rsid w:val="005D67E1"/>
    <w:rsid w:val="005D6CBC"/>
    <w:rsid w:val="005E2DC0"/>
    <w:rsid w:val="005E306A"/>
    <w:rsid w:val="005E315B"/>
    <w:rsid w:val="005E459E"/>
    <w:rsid w:val="005F4D9E"/>
    <w:rsid w:val="005F73ED"/>
    <w:rsid w:val="005F7D27"/>
    <w:rsid w:val="0060079E"/>
    <w:rsid w:val="00601F58"/>
    <w:rsid w:val="00602D89"/>
    <w:rsid w:val="00605AC4"/>
    <w:rsid w:val="00605E4B"/>
    <w:rsid w:val="00606987"/>
    <w:rsid w:val="00607080"/>
    <w:rsid w:val="00607732"/>
    <w:rsid w:val="006119A1"/>
    <w:rsid w:val="00613FCB"/>
    <w:rsid w:val="006148B9"/>
    <w:rsid w:val="00615BF3"/>
    <w:rsid w:val="00617323"/>
    <w:rsid w:val="0062087E"/>
    <w:rsid w:val="00630508"/>
    <w:rsid w:val="006309F3"/>
    <w:rsid w:val="006345AB"/>
    <w:rsid w:val="00634632"/>
    <w:rsid w:val="00634EDC"/>
    <w:rsid w:val="00637F48"/>
    <w:rsid w:val="00641AC2"/>
    <w:rsid w:val="00642C33"/>
    <w:rsid w:val="006471DF"/>
    <w:rsid w:val="0065043D"/>
    <w:rsid w:val="00652732"/>
    <w:rsid w:val="0066153F"/>
    <w:rsid w:val="00662892"/>
    <w:rsid w:val="00666461"/>
    <w:rsid w:val="0067173F"/>
    <w:rsid w:val="00671C0D"/>
    <w:rsid w:val="00673272"/>
    <w:rsid w:val="0067474F"/>
    <w:rsid w:val="006805FC"/>
    <w:rsid w:val="00681906"/>
    <w:rsid w:val="00681CC8"/>
    <w:rsid w:val="00683776"/>
    <w:rsid w:val="006844E6"/>
    <w:rsid w:val="00687B04"/>
    <w:rsid w:val="006903FD"/>
    <w:rsid w:val="0069196C"/>
    <w:rsid w:val="00693C2F"/>
    <w:rsid w:val="006944DE"/>
    <w:rsid w:val="00694AB7"/>
    <w:rsid w:val="00696193"/>
    <w:rsid w:val="00696275"/>
    <w:rsid w:val="006A4949"/>
    <w:rsid w:val="006A5E7E"/>
    <w:rsid w:val="006B1881"/>
    <w:rsid w:val="006B2EB3"/>
    <w:rsid w:val="006B3931"/>
    <w:rsid w:val="006B52A0"/>
    <w:rsid w:val="006B72C3"/>
    <w:rsid w:val="006B73F4"/>
    <w:rsid w:val="006C5AEB"/>
    <w:rsid w:val="006C6216"/>
    <w:rsid w:val="006C714D"/>
    <w:rsid w:val="006C7411"/>
    <w:rsid w:val="006D2186"/>
    <w:rsid w:val="006D3FE5"/>
    <w:rsid w:val="006D4848"/>
    <w:rsid w:val="006D5938"/>
    <w:rsid w:val="006D7291"/>
    <w:rsid w:val="006D75A8"/>
    <w:rsid w:val="006D7D3A"/>
    <w:rsid w:val="006E0126"/>
    <w:rsid w:val="006E29DE"/>
    <w:rsid w:val="006E549B"/>
    <w:rsid w:val="006E6F89"/>
    <w:rsid w:val="006F19B0"/>
    <w:rsid w:val="006F2526"/>
    <w:rsid w:val="006F46D3"/>
    <w:rsid w:val="006F47B5"/>
    <w:rsid w:val="007051D5"/>
    <w:rsid w:val="007076DD"/>
    <w:rsid w:val="007152E2"/>
    <w:rsid w:val="00715688"/>
    <w:rsid w:val="007217CD"/>
    <w:rsid w:val="00722DF8"/>
    <w:rsid w:val="00732AC1"/>
    <w:rsid w:val="00734819"/>
    <w:rsid w:val="0073555D"/>
    <w:rsid w:val="007355DD"/>
    <w:rsid w:val="0074066C"/>
    <w:rsid w:val="00747C8F"/>
    <w:rsid w:val="007509AB"/>
    <w:rsid w:val="007538D5"/>
    <w:rsid w:val="00755CD2"/>
    <w:rsid w:val="0075765F"/>
    <w:rsid w:val="007618B2"/>
    <w:rsid w:val="0076288B"/>
    <w:rsid w:val="00763B3B"/>
    <w:rsid w:val="00770B49"/>
    <w:rsid w:val="007718EA"/>
    <w:rsid w:val="00773FEC"/>
    <w:rsid w:val="00776C46"/>
    <w:rsid w:val="00782B93"/>
    <w:rsid w:val="00784449"/>
    <w:rsid w:val="007947F7"/>
    <w:rsid w:val="00795607"/>
    <w:rsid w:val="0079609D"/>
    <w:rsid w:val="007A0894"/>
    <w:rsid w:val="007A233D"/>
    <w:rsid w:val="007A636F"/>
    <w:rsid w:val="007B5F4A"/>
    <w:rsid w:val="007C34B3"/>
    <w:rsid w:val="007C4F73"/>
    <w:rsid w:val="007C5CEB"/>
    <w:rsid w:val="007C6715"/>
    <w:rsid w:val="007D2BEE"/>
    <w:rsid w:val="007D2ED6"/>
    <w:rsid w:val="007D3BE0"/>
    <w:rsid w:val="007D626F"/>
    <w:rsid w:val="007E213F"/>
    <w:rsid w:val="007E34F9"/>
    <w:rsid w:val="007E67AF"/>
    <w:rsid w:val="00801AB3"/>
    <w:rsid w:val="00805876"/>
    <w:rsid w:val="00805C3C"/>
    <w:rsid w:val="008066E1"/>
    <w:rsid w:val="008069D3"/>
    <w:rsid w:val="00835FC0"/>
    <w:rsid w:val="00844A18"/>
    <w:rsid w:val="00844E3D"/>
    <w:rsid w:val="008471BF"/>
    <w:rsid w:val="0085046E"/>
    <w:rsid w:val="00853421"/>
    <w:rsid w:val="00854A14"/>
    <w:rsid w:val="0085561B"/>
    <w:rsid w:val="0085571E"/>
    <w:rsid w:val="00856902"/>
    <w:rsid w:val="008604E5"/>
    <w:rsid w:val="008612B1"/>
    <w:rsid w:val="00866758"/>
    <w:rsid w:val="00867D71"/>
    <w:rsid w:val="00871394"/>
    <w:rsid w:val="00875A37"/>
    <w:rsid w:val="0088458A"/>
    <w:rsid w:val="00890A37"/>
    <w:rsid w:val="00891D66"/>
    <w:rsid w:val="008944F1"/>
    <w:rsid w:val="0089516E"/>
    <w:rsid w:val="00897CF3"/>
    <w:rsid w:val="008A3E5B"/>
    <w:rsid w:val="008A5ACB"/>
    <w:rsid w:val="008A6EAF"/>
    <w:rsid w:val="008B051C"/>
    <w:rsid w:val="008B67B4"/>
    <w:rsid w:val="008C0487"/>
    <w:rsid w:val="008C1EF2"/>
    <w:rsid w:val="008C1FA6"/>
    <w:rsid w:val="008C2BF7"/>
    <w:rsid w:val="008C5009"/>
    <w:rsid w:val="008D3C85"/>
    <w:rsid w:val="008D4BBF"/>
    <w:rsid w:val="008E5810"/>
    <w:rsid w:val="008E599B"/>
    <w:rsid w:val="008E5DAB"/>
    <w:rsid w:val="008E693D"/>
    <w:rsid w:val="008E693E"/>
    <w:rsid w:val="008F0756"/>
    <w:rsid w:val="008F232C"/>
    <w:rsid w:val="008F4C85"/>
    <w:rsid w:val="009021AE"/>
    <w:rsid w:val="00907046"/>
    <w:rsid w:val="00907EEA"/>
    <w:rsid w:val="00911D09"/>
    <w:rsid w:val="00911F81"/>
    <w:rsid w:val="00912430"/>
    <w:rsid w:val="009127A9"/>
    <w:rsid w:val="009145F8"/>
    <w:rsid w:val="00916597"/>
    <w:rsid w:val="00917320"/>
    <w:rsid w:val="00917C69"/>
    <w:rsid w:val="009222BD"/>
    <w:rsid w:val="00930B75"/>
    <w:rsid w:val="009312B4"/>
    <w:rsid w:val="00935116"/>
    <w:rsid w:val="00936A2A"/>
    <w:rsid w:val="00937639"/>
    <w:rsid w:val="00937F80"/>
    <w:rsid w:val="009401BC"/>
    <w:rsid w:val="00940BFC"/>
    <w:rsid w:val="009437CF"/>
    <w:rsid w:val="009441A5"/>
    <w:rsid w:val="0094427E"/>
    <w:rsid w:val="009450C7"/>
    <w:rsid w:val="00951D43"/>
    <w:rsid w:val="00954764"/>
    <w:rsid w:val="009775D3"/>
    <w:rsid w:val="00977866"/>
    <w:rsid w:val="0097787F"/>
    <w:rsid w:val="00983096"/>
    <w:rsid w:val="00985BD1"/>
    <w:rsid w:val="009869D2"/>
    <w:rsid w:val="00990790"/>
    <w:rsid w:val="009917D5"/>
    <w:rsid w:val="00995030"/>
    <w:rsid w:val="00995572"/>
    <w:rsid w:val="009A0675"/>
    <w:rsid w:val="009A261B"/>
    <w:rsid w:val="009A3A24"/>
    <w:rsid w:val="009A415A"/>
    <w:rsid w:val="009B0EAD"/>
    <w:rsid w:val="009B1C9A"/>
    <w:rsid w:val="009B21B3"/>
    <w:rsid w:val="009B21B4"/>
    <w:rsid w:val="009B29E8"/>
    <w:rsid w:val="009B2A22"/>
    <w:rsid w:val="009B45AB"/>
    <w:rsid w:val="009B523D"/>
    <w:rsid w:val="009B5440"/>
    <w:rsid w:val="009B5882"/>
    <w:rsid w:val="009B65F5"/>
    <w:rsid w:val="009B6BDB"/>
    <w:rsid w:val="009B6E81"/>
    <w:rsid w:val="009B779F"/>
    <w:rsid w:val="009C2FB0"/>
    <w:rsid w:val="009C34CA"/>
    <w:rsid w:val="009D1DF8"/>
    <w:rsid w:val="009D3E35"/>
    <w:rsid w:val="009E09B7"/>
    <w:rsid w:val="009E608A"/>
    <w:rsid w:val="009F0DEB"/>
    <w:rsid w:val="009F3704"/>
    <w:rsid w:val="009F436E"/>
    <w:rsid w:val="009F7142"/>
    <w:rsid w:val="00A00A99"/>
    <w:rsid w:val="00A0438D"/>
    <w:rsid w:val="00A04449"/>
    <w:rsid w:val="00A07D08"/>
    <w:rsid w:val="00A10107"/>
    <w:rsid w:val="00A1119D"/>
    <w:rsid w:val="00A14D7E"/>
    <w:rsid w:val="00A15C13"/>
    <w:rsid w:val="00A2113C"/>
    <w:rsid w:val="00A2331E"/>
    <w:rsid w:val="00A31974"/>
    <w:rsid w:val="00A35225"/>
    <w:rsid w:val="00A35E01"/>
    <w:rsid w:val="00A35F15"/>
    <w:rsid w:val="00A44519"/>
    <w:rsid w:val="00A458C8"/>
    <w:rsid w:val="00A47B36"/>
    <w:rsid w:val="00A57EE3"/>
    <w:rsid w:val="00A60547"/>
    <w:rsid w:val="00A623E4"/>
    <w:rsid w:val="00A6307F"/>
    <w:rsid w:val="00A64B00"/>
    <w:rsid w:val="00A66936"/>
    <w:rsid w:val="00A67D6F"/>
    <w:rsid w:val="00A7122C"/>
    <w:rsid w:val="00A807B4"/>
    <w:rsid w:val="00A82003"/>
    <w:rsid w:val="00A86066"/>
    <w:rsid w:val="00A901FE"/>
    <w:rsid w:val="00A9192B"/>
    <w:rsid w:val="00AA0C28"/>
    <w:rsid w:val="00AA0DC6"/>
    <w:rsid w:val="00AA3AA1"/>
    <w:rsid w:val="00AA52CD"/>
    <w:rsid w:val="00AA530E"/>
    <w:rsid w:val="00AA6F75"/>
    <w:rsid w:val="00AB09C2"/>
    <w:rsid w:val="00AB2C2F"/>
    <w:rsid w:val="00AB607B"/>
    <w:rsid w:val="00AB6E8B"/>
    <w:rsid w:val="00AB73FC"/>
    <w:rsid w:val="00AB7CF5"/>
    <w:rsid w:val="00AC0DAA"/>
    <w:rsid w:val="00AC1A69"/>
    <w:rsid w:val="00AC6E8D"/>
    <w:rsid w:val="00AC7FA1"/>
    <w:rsid w:val="00AD38C4"/>
    <w:rsid w:val="00AD3E1E"/>
    <w:rsid w:val="00AD56B6"/>
    <w:rsid w:val="00AE032C"/>
    <w:rsid w:val="00AE0F5C"/>
    <w:rsid w:val="00AE6297"/>
    <w:rsid w:val="00AF20DD"/>
    <w:rsid w:val="00AF58C0"/>
    <w:rsid w:val="00B070A1"/>
    <w:rsid w:val="00B077D3"/>
    <w:rsid w:val="00B11C51"/>
    <w:rsid w:val="00B15086"/>
    <w:rsid w:val="00B21DDA"/>
    <w:rsid w:val="00B24984"/>
    <w:rsid w:val="00B26D72"/>
    <w:rsid w:val="00B33AF7"/>
    <w:rsid w:val="00B43ADD"/>
    <w:rsid w:val="00B452D5"/>
    <w:rsid w:val="00B4542F"/>
    <w:rsid w:val="00B51C42"/>
    <w:rsid w:val="00B61AB5"/>
    <w:rsid w:val="00B6474E"/>
    <w:rsid w:val="00B6639B"/>
    <w:rsid w:val="00B676F9"/>
    <w:rsid w:val="00B72CB3"/>
    <w:rsid w:val="00B73206"/>
    <w:rsid w:val="00B7535F"/>
    <w:rsid w:val="00B770C4"/>
    <w:rsid w:val="00B81DB9"/>
    <w:rsid w:val="00B81E38"/>
    <w:rsid w:val="00B879AD"/>
    <w:rsid w:val="00B9181C"/>
    <w:rsid w:val="00B9357B"/>
    <w:rsid w:val="00BA36F5"/>
    <w:rsid w:val="00BB2DA1"/>
    <w:rsid w:val="00BB338C"/>
    <w:rsid w:val="00BB3511"/>
    <w:rsid w:val="00BB56E4"/>
    <w:rsid w:val="00BB7D3A"/>
    <w:rsid w:val="00BC1CA9"/>
    <w:rsid w:val="00BC3FF3"/>
    <w:rsid w:val="00BC4734"/>
    <w:rsid w:val="00BC7137"/>
    <w:rsid w:val="00BD1A31"/>
    <w:rsid w:val="00BD3FD3"/>
    <w:rsid w:val="00BD536A"/>
    <w:rsid w:val="00BD679A"/>
    <w:rsid w:val="00BE193A"/>
    <w:rsid w:val="00BE1CA1"/>
    <w:rsid w:val="00BF01EB"/>
    <w:rsid w:val="00BF2C85"/>
    <w:rsid w:val="00BF7C1E"/>
    <w:rsid w:val="00C0262A"/>
    <w:rsid w:val="00C02CF3"/>
    <w:rsid w:val="00C075D6"/>
    <w:rsid w:val="00C10D17"/>
    <w:rsid w:val="00C10DA9"/>
    <w:rsid w:val="00C13B5C"/>
    <w:rsid w:val="00C144AF"/>
    <w:rsid w:val="00C17F35"/>
    <w:rsid w:val="00C200BD"/>
    <w:rsid w:val="00C263EE"/>
    <w:rsid w:val="00C27710"/>
    <w:rsid w:val="00C35D61"/>
    <w:rsid w:val="00C4047D"/>
    <w:rsid w:val="00C426FA"/>
    <w:rsid w:val="00C465A1"/>
    <w:rsid w:val="00C46FB2"/>
    <w:rsid w:val="00C53A1F"/>
    <w:rsid w:val="00C561E9"/>
    <w:rsid w:val="00C627F7"/>
    <w:rsid w:val="00C6471B"/>
    <w:rsid w:val="00C64C5D"/>
    <w:rsid w:val="00C70295"/>
    <w:rsid w:val="00C77616"/>
    <w:rsid w:val="00C81393"/>
    <w:rsid w:val="00C8176C"/>
    <w:rsid w:val="00C86B2A"/>
    <w:rsid w:val="00C87A3C"/>
    <w:rsid w:val="00C9308D"/>
    <w:rsid w:val="00C952F4"/>
    <w:rsid w:val="00C973A4"/>
    <w:rsid w:val="00CA08C2"/>
    <w:rsid w:val="00CA5FB4"/>
    <w:rsid w:val="00CB373C"/>
    <w:rsid w:val="00CC0955"/>
    <w:rsid w:val="00CC47F5"/>
    <w:rsid w:val="00CC5649"/>
    <w:rsid w:val="00CD1C16"/>
    <w:rsid w:val="00CD65BD"/>
    <w:rsid w:val="00CD7494"/>
    <w:rsid w:val="00CE0660"/>
    <w:rsid w:val="00CE10CF"/>
    <w:rsid w:val="00CE5D91"/>
    <w:rsid w:val="00CE6924"/>
    <w:rsid w:val="00CF09FE"/>
    <w:rsid w:val="00CF3187"/>
    <w:rsid w:val="00CF5961"/>
    <w:rsid w:val="00CF6B6C"/>
    <w:rsid w:val="00CF7780"/>
    <w:rsid w:val="00D00222"/>
    <w:rsid w:val="00D0433B"/>
    <w:rsid w:val="00D06AA9"/>
    <w:rsid w:val="00D07A87"/>
    <w:rsid w:val="00D1112A"/>
    <w:rsid w:val="00D1438A"/>
    <w:rsid w:val="00D14500"/>
    <w:rsid w:val="00D15E73"/>
    <w:rsid w:val="00D163EB"/>
    <w:rsid w:val="00D21986"/>
    <w:rsid w:val="00D26606"/>
    <w:rsid w:val="00D27E61"/>
    <w:rsid w:val="00D31585"/>
    <w:rsid w:val="00D31728"/>
    <w:rsid w:val="00D333DC"/>
    <w:rsid w:val="00D335E3"/>
    <w:rsid w:val="00D36887"/>
    <w:rsid w:val="00D37965"/>
    <w:rsid w:val="00D40197"/>
    <w:rsid w:val="00D43306"/>
    <w:rsid w:val="00D43E07"/>
    <w:rsid w:val="00D4442A"/>
    <w:rsid w:val="00D44503"/>
    <w:rsid w:val="00D47588"/>
    <w:rsid w:val="00D52145"/>
    <w:rsid w:val="00D53609"/>
    <w:rsid w:val="00D539C4"/>
    <w:rsid w:val="00D63A38"/>
    <w:rsid w:val="00D63C61"/>
    <w:rsid w:val="00D66610"/>
    <w:rsid w:val="00D6667A"/>
    <w:rsid w:val="00D70E1B"/>
    <w:rsid w:val="00D71899"/>
    <w:rsid w:val="00D74293"/>
    <w:rsid w:val="00D75EFD"/>
    <w:rsid w:val="00D75F18"/>
    <w:rsid w:val="00D76AA7"/>
    <w:rsid w:val="00D76F6E"/>
    <w:rsid w:val="00D7761A"/>
    <w:rsid w:val="00D8462B"/>
    <w:rsid w:val="00D85287"/>
    <w:rsid w:val="00D87046"/>
    <w:rsid w:val="00D9035D"/>
    <w:rsid w:val="00DA2C6D"/>
    <w:rsid w:val="00DA464A"/>
    <w:rsid w:val="00DA465A"/>
    <w:rsid w:val="00DA6874"/>
    <w:rsid w:val="00DB0930"/>
    <w:rsid w:val="00DB4653"/>
    <w:rsid w:val="00DC0C3E"/>
    <w:rsid w:val="00DC21D5"/>
    <w:rsid w:val="00DC43D2"/>
    <w:rsid w:val="00DD1587"/>
    <w:rsid w:val="00DD1A6D"/>
    <w:rsid w:val="00DD25E5"/>
    <w:rsid w:val="00DD2643"/>
    <w:rsid w:val="00DD2868"/>
    <w:rsid w:val="00DD3E15"/>
    <w:rsid w:val="00DD47B9"/>
    <w:rsid w:val="00DE3826"/>
    <w:rsid w:val="00DE3E10"/>
    <w:rsid w:val="00DF1A71"/>
    <w:rsid w:val="00DF3B07"/>
    <w:rsid w:val="00DF4729"/>
    <w:rsid w:val="00DF4DFD"/>
    <w:rsid w:val="00DF5930"/>
    <w:rsid w:val="00DF6039"/>
    <w:rsid w:val="00E0016E"/>
    <w:rsid w:val="00E001F6"/>
    <w:rsid w:val="00E00D2C"/>
    <w:rsid w:val="00E01E5F"/>
    <w:rsid w:val="00E06EB2"/>
    <w:rsid w:val="00E07086"/>
    <w:rsid w:val="00E072A4"/>
    <w:rsid w:val="00E11912"/>
    <w:rsid w:val="00E14092"/>
    <w:rsid w:val="00E14BF3"/>
    <w:rsid w:val="00E1784F"/>
    <w:rsid w:val="00E22995"/>
    <w:rsid w:val="00E368FE"/>
    <w:rsid w:val="00E41E37"/>
    <w:rsid w:val="00E434EA"/>
    <w:rsid w:val="00E43B13"/>
    <w:rsid w:val="00E457E8"/>
    <w:rsid w:val="00E52414"/>
    <w:rsid w:val="00E60193"/>
    <w:rsid w:val="00E63E03"/>
    <w:rsid w:val="00E64073"/>
    <w:rsid w:val="00E6431F"/>
    <w:rsid w:val="00E64323"/>
    <w:rsid w:val="00E73E8A"/>
    <w:rsid w:val="00E7742F"/>
    <w:rsid w:val="00E77FAC"/>
    <w:rsid w:val="00E77FAD"/>
    <w:rsid w:val="00E817E5"/>
    <w:rsid w:val="00E84941"/>
    <w:rsid w:val="00E86448"/>
    <w:rsid w:val="00E86679"/>
    <w:rsid w:val="00E90FFD"/>
    <w:rsid w:val="00EA110C"/>
    <w:rsid w:val="00EA1D4E"/>
    <w:rsid w:val="00EA3442"/>
    <w:rsid w:val="00EA72A3"/>
    <w:rsid w:val="00EC3F24"/>
    <w:rsid w:val="00EC4F37"/>
    <w:rsid w:val="00EC77F0"/>
    <w:rsid w:val="00EC7C82"/>
    <w:rsid w:val="00ED107C"/>
    <w:rsid w:val="00ED34D5"/>
    <w:rsid w:val="00ED4B41"/>
    <w:rsid w:val="00ED5E3D"/>
    <w:rsid w:val="00ED6459"/>
    <w:rsid w:val="00EE5E04"/>
    <w:rsid w:val="00EE61DC"/>
    <w:rsid w:val="00EE703F"/>
    <w:rsid w:val="00EF5642"/>
    <w:rsid w:val="00F00B8C"/>
    <w:rsid w:val="00F023EB"/>
    <w:rsid w:val="00F03EAC"/>
    <w:rsid w:val="00F04850"/>
    <w:rsid w:val="00F04B54"/>
    <w:rsid w:val="00F107CD"/>
    <w:rsid w:val="00F15B9B"/>
    <w:rsid w:val="00F1699A"/>
    <w:rsid w:val="00F1744A"/>
    <w:rsid w:val="00F17538"/>
    <w:rsid w:val="00F17BEF"/>
    <w:rsid w:val="00F21867"/>
    <w:rsid w:val="00F244EA"/>
    <w:rsid w:val="00F246FB"/>
    <w:rsid w:val="00F252EC"/>
    <w:rsid w:val="00F27AE8"/>
    <w:rsid w:val="00F3609B"/>
    <w:rsid w:val="00F37D37"/>
    <w:rsid w:val="00F443B9"/>
    <w:rsid w:val="00F471CF"/>
    <w:rsid w:val="00F473F2"/>
    <w:rsid w:val="00F5591C"/>
    <w:rsid w:val="00F55DD3"/>
    <w:rsid w:val="00F56112"/>
    <w:rsid w:val="00F57323"/>
    <w:rsid w:val="00F61EF7"/>
    <w:rsid w:val="00F623A7"/>
    <w:rsid w:val="00F63F65"/>
    <w:rsid w:val="00F64698"/>
    <w:rsid w:val="00F7419D"/>
    <w:rsid w:val="00F75C31"/>
    <w:rsid w:val="00F84CA2"/>
    <w:rsid w:val="00F85661"/>
    <w:rsid w:val="00F86AAD"/>
    <w:rsid w:val="00F87455"/>
    <w:rsid w:val="00F903EA"/>
    <w:rsid w:val="00F9046D"/>
    <w:rsid w:val="00F92974"/>
    <w:rsid w:val="00F92E9E"/>
    <w:rsid w:val="00F931EB"/>
    <w:rsid w:val="00F95D12"/>
    <w:rsid w:val="00F9672A"/>
    <w:rsid w:val="00FA0F65"/>
    <w:rsid w:val="00FA1C9E"/>
    <w:rsid w:val="00FA4963"/>
    <w:rsid w:val="00FA4B62"/>
    <w:rsid w:val="00FA5E2C"/>
    <w:rsid w:val="00FA630A"/>
    <w:rsid w:val="00FB1992"/>
    <w:rsid w:val="00FB629D"/>
    <w:rsid w:val="00FC3C4A"/>
    <w:rsid w:val="00FC73E9"/>
    <w:rsid w:val="00FD47E6"/>
    <w:rsid w:val="00FD4A24"/>
    <w:rsid w:val="00FE16B4"/>
    <w:rsid w:val="00FE22E8"/>
    <w:rsid w:val="00FE3C61"/>
    <w:rsid w:val="00FE54DE"/>
    <w:rsid w:val="00FF3CCA"/>
    <w:rsid w:val="00FF54B4"/>
    <w:rsid w:val="00FF5E77"/>
    <w:rsid w:val="00FF6C16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1D47EC"/>
  <w15:docId w15:val="{A8A988AD-DC77-4D53-82D6-FC976565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Times New Roman" w:hAnsi="Arial"/>
      <w:lang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Arial"/>
      <w:b/>
      <w:bCs/>
      <w:noProof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bCs/>
      <w:iCs/>
      <w:noProof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cs="Arial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Zwrotpoegnalny">
    <w:name w:val="Closing"/>
    <w:semiHidden/>
    <w:pPr>
      <w:tabs>
        <w:tab w:val="left" w:pos="2835"/>
      </w:tabs>
      <w:spacing w:line="220" w:lineRule="exact"/>
    </w:pPr>
    <w:rPr>
      <w:rFonts w:ascii="Arial" w:eastAsia="Times New Roman" w:hAnsi="Arial"/>
      <w:lang w:val="de-DE" w:eastAsia="en-US"/>
    </w:rPr>
  </w:style>
  <w:style w:type="paragraph" w:customStyle="1" w:styleId="scfstandard">
    <w:name w:val="scf_standard"/>
    <w:rPr>
      <w:rFonts w:ascii="Arial" w:eastAsia="Times New Roman" w:hAnsi="Arial"/>
      <w:noProof/>
      <w:lang w:val="en-US" w:eastAsia="de-DE"/>
    </w:rPr>
  </w:style>
  <w:style w:type="paragraph" w:customStyle="1" w:styleId="scfBereich">
    <w:name w:val="scfBereich"/>
    <w:basedOn w:val="scfstandard"/>
    <w:pPr>
      <w:spacing w:before="140"/>
    </w:pPr>
    <w:rPr>
      <w:b/>
    </w:rPr>
  </w:style>
  <w:style w:type="paragraph" w:customStyle="1" w:styleId="scfvertrauen">
    <w:name w:val="scf_vertrauen"/>
    <w:basedOn w:val="scfstandard"/>
    <w:pPr>
      <w:spacing w:before="460" w:line="220" w:lineRule="exact"/>
    </w:pPr>
  </w:style>
  <w:style w:type="paragraph" w:customStyle="1" w:styleId="scfpostal">
    <w:name w:val="scf_postal"/>
    <w:basedOn w:val="scfstandard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pPr>
      <w:spacing w:line="180" w:lineRule="exact"/>
    </w:pPr>
    <w:rPr>
      <w:sz w:val="16"/>
    </w:rPr>
  </w:style>
  <w:style w:type="paragraph" w:customStyle="1" w:styleId="scfdatum">
    <w:name w:val="scf_datum"/>
    <w:basedOn w:val="scfnutzer"/>
  </w:style>
  <w:style w:type="paragraph" w:customStyle="1" w:styleId="scfAnschrift">
    <w:name w:val="scfAnschrift"/>
    <w:basedOn w:val="scfstandard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pPr>
      <w:spacing w:before="60"/>
    </w:pPr>
  </w:style>
  <w:style w:type="paragraph" w:customStyle="1" w:styleId="scfbrieftext">
    <w:name w:val="scfbrieftext"/>
    <w:basedOn w:val="scfstandard"/>
    <w:rPr>
      <w:noProof w:val="0"/>
    </w:rPr>
  </w:style>
  <w:style w:type="paragraph" w:customStyle="1" w:styleId="scfBetreff">
    <w:name w:val="scfBetreff"/>
    <w:basedOn w:val="scfstandard"/>
    <w:next w:val="scfbrieftext"/>
    <w:pPr>
      <w:spacing w:before="440" w:after="440"/>
    </w:pPr>
    <w:rPr>
      <w:b/>
    </w:rPr>
  </w:style>
  <w:style w:type="paragraph" w:customStyle="1" w:styleId="scfvormodul">
    <w:name w:val="scfvormodul"/>
    <w:basedOn w:val="scfstandard"/>
    <w:next w:val="scfbrieftext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scfmodultext">
    <w:name w:val="scfmodultext"/>
    <w:basedOn w:val="scfstandard"/>
    <w:rPr>
      <w:sz w:val="18"/>
      <w:lang w:eastAsia="en-US"/>
    </w:rPr>
  </w:style>
  <w:style w:type="paragraph" w:customStyle="1" w:styleId="scforgzeile">
    <w:name w:val="scforgzeile"/>
    <w:basedOn w:val="scfstandard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pPr>
      <w:spacing w:line="180" w:lineRule="exact"/>
    </w:pPr>
    <w:rPr>
      <w:sz w:val="16"/>
    </w:rPr>
  </w:style>
  <w:style w:type="paragraph" w:customStyle="1" w:styleId="scfgruss">
    <w:name w:val="scf_gruss"/>
    <w:basedOn w:val="scfbrieftext"/>
    <w:pPr>
      <w:keepNext/>
      <w:keepLines/>
      <w:tabs>
        <w:tab w:val="left" w:pos="5387"/>
      </w:tabs>
    </w:pPr>
    <w:rPr>
      <w:noProof/>
    </w:rPr>
  </w:style>
  <w:style w:type="paragraph" w:customStyle="1" w:styleId="scfuz">
    <w:name w:val="scf_uz"/>
    <w:basedOn w:val="scfnutzer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Times New Roman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Arial" w:eastAsia="Times New Roman" w:hAnsi="Arial"/>
      <w:b/>
      <w:bCs/>
      <w:lang w:val="de-DE" w:eastAsia="de-DE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Arial" w:eastAsia="Times New Roman" w:hAnsi="Arial"/>
      <w:lang w:val="de-DE" w:eastAsia="de-DE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Pr>
      <w:rFonts w:ascii="Arial" w:eastAsia="Times New Roman" w:hAnsi="Arial"/>
      <w:lang w:val="de-DE" w:eastAsia="de-DE"/>
    </w:rPr>
  </w:style>
  <w:style w:type="paragraph" w:customStyle="1" w:styleId="Boilerplate">
    <w:name w:val="Boilerplate"/>
    <w:basedOn w:val="Normalny"/>
    <w:uiPriority w:val="99"/>
    <w:pPr>
      <w:spacing w:line="360" w:lineRule="auto"/>
    </w:pPr>
    <w:rPr>
      <w:rFonts w:eastAsiaTheme="minorEastAsia" w:cs="Arial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eastAsiaTheme="minorHAns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Bodytext">
    <w:name w:val="Bodytext"/>
    <w:qFormat/>
    <w:pPr>
      <w:spacing w:line="360" w:lineRule="auto"/>
    </w:pPr>
    <w:rPr>
      <w:rFonts w:ascii="Arial" w:eastAsia="Times New Roman" w:hAnsi="Arial"/>
      <w:sz w:val="22"/>
      <w:lang w:eastAsia="de-DE"/>
    </w:rPr>
  </w:style>
  <w:style w:type="table" w:styleId="Tabela-Siatka">
    <w:name w:val="Table Grid"/>
    <w:basedOn w:val="Standardowy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4616C5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nhideWhenUsed/>
    <w:qFormat/>
    <w:rsid w:val="00D6661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38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emen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JNERKA\SFS%20Renaming\pismo-zewn-Sans-pl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0"/>
          <a:lstStyle/>
          <a:p>
            <a:pPr>
              <a:defRPr sz="1200">
                <a:latin typeface="Century Gothic" panose="020B0502020202020204" pitchFamily="34" charset="0"/>
              </a:defRPr>
            </a:pPr>
            <a:r>
              <a:rPr lang="pl-PL" sz="1200" b="1" i="0" baseline="0">
                <a:effectLst/>
                <a:latin typeface="Century Gothic" panose="020B0502020202020204" pitchFamily="34" charset="0"/>
              </a:rPr>
              <a:t>Jak kształtują się następujące obszary w relacji do minionego roku w Pana/Pani firmie? </a:t>
            </a:r>
            <a:endParaRPr lang="pl-PL" sz="1200">
              <a:effectLst/>
              <a:latin typeface="Century Gothic" panose="020B0502020202020204" pitchFamily="34" charset="0"/>
            </a:endParaRPr>
          </a:p>
        </c:rich>
      </c:tx>
      <c:layout>
        <c:manualLayout>
          <c:xMode val="edge"/>
          <c:yMode val="edge"/>
          <c:x val="0.12785046728971963"/>
          <c:y val="6.246371642569068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6003947368421055"/>
          <c:y val="0.34255363534103689"/>
          <c:w val="0.45937266229678186"/>
          <c:h val="0.49458145004601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Wzrost</c:v>
                </c:pt>
              </c:strCache>
            </c:strRef>
          </c:tx>
          <c:spPr>
            <a:solidFill>
              <a:srgbClr val="008200"/>
            </a:solidFill>
            <a:ln>
              <a:solidFill>
                <a:schemeClr val="bg1"/>
              </a:solidFill>
            </a:ln>
            <a:effectLst>
              <a:outerShdw blurRad="63500" sx="102000" sy="102000" algn="c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Odnowienie parku MiU</c:v>
                </c:pt>
                <c:pt idx="1">
                  <c:v>Stopień automatyzacji</c:v>
                </c:pt>
                <c:pt idx="2">
                  <c:v>Udział finansowania zewnętrznego</c:v>
                </c:pt>
                <c:pt idx="3">
                  <c:v>Częstotliwość odnowienia MiU</c:v>
                </c:pt>
              </c:strCache>
            </c:strRef>
          </c:cat>
          <c:val>
            <c:numRef>
              <c:f>Arkusz1!$B$2:$B$5</c:f>
              <c:numCache>
                <c:formatCode>0.0%</c:formatCode>
                <c:ptCount val="4"/>
                <c:pt idx="0">
                  <c:v>0.32200000000000001</c:v>
                </c:pt>
                <c:pt idx="1">
                  <c:v>0.35199999999999998</c:v>
                </c:pt>
                <c:pt idx="2">
                  <c:v>0.11799999999999999</c:v>
                </c:pt>
                <c:pt idx="3">
                  <c:v>0.24199999999999999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B0-4507-A4F1-F49B7E84A33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Bez zmian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bg1"/>
              </a:solidFill>
            </a:ln>
            <a:effectLst>
              <a:outerShdw blurRad="63500" sx="102000" sy="102000" algn="c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Odnowienie parku MiU</c:v>
                </c:pt>
                <c:pt idx="1">
                  <c:v>Stopień automatyzacji</c:v>
                </c:pt>
                <c:pt idx="2">
                  <c:v>Udział finansowania zewnętrznego</c:v>
                </c:pt>
                <c:pt idx="3">
                  <c:v>Częstotliwość odnowienia MiU</c:v>
                </c:pt>
              </c:strCache>
            </c:strRef>
          </c:cat>
          <c:val>
            <c:numRef>
              <c:f>Arkusz1!$C$2:$C$5</c:f>
              <c:numCache>
                <c:formatCode>0.0%</c:formatCode>
                <c:ptCount val="4"/>
                <c:pt idx="0">
                  <c:v>0.59299999999999997</c:v>
                </c:pt>
                <c:pt idx="1">
                  <c:v>0.59099999999999997</c:v>
                </c:pt>
                <c:pt idx="2">
                  <c:v>0.66500000000000004</c:v>
                </c:pt>
                <c:pt idx="3">
                  <c:v>0.61099999999999999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3B0-4507-A4F1-F49B7E84A33E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Spadek</c:v>
                </c:pt>
              </c:strCache>
            </c:strRef>
          </c:tx>
          <c:spPr>
            <a:solidFill>
              <a:srgbClr val="C80000"/>
            </a:solidFill>
            <a:ln>
              <a:solidFill>
                <a:schemeClr val="bg1"/>
              </a:solidFill>
            </a:ln>
            <a:effectLst>
              <a:outerShdw blurRad="63500" sx="102000" sy="102000" algn="c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solidFill>
                <a:srgbClr val="C80000"/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  <a:latin typeface="Century Gothic" panose="020B0502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Odnowienie parku MiU</c:v>
                </c:pt>
                <c:pt idx="1">
                  <c:v>Stopień automatyzacji</c:v>
                </c:pt>
                <c:pt idx="2">
                  <c:v>Udział finansowania zewnętrznego</c:v>
                </c:pt>
                <c:pt idx="3">
                  <c:v>Częstotliwość odnowienia MiU</c:v>
                </c:pt>
              </c:strCache>
            </c:strRef>
          </c:cat>
          <c:val>
            <c:numRef>
              <c:f>Arkusz1!$D$2:$D$5</c:f>
              <c:numCache>
                <c:formatCode>0.0%</c:formatCode>
                <c:ptCount val="4"/>
                <c:pt idx="0">
                  <c:v>0.06</c:v>
                </c:pt>
                <c:pt idx="1">
                  <c:v>1.4999999999999999E-2</c:v>
                </c:pt>
                <c:pt idx="2">
                  <c:v>5.8000000000000003E-2</c:v>
                </c:pt>
                <c:pt idx="3">
                  <c:v>6.2E-2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3B0-4507-A4F1-F49B7E84A33E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Nie wiem</c:v>
                </c:pt>
              </c:strCache>
            </c:strRef>
          </c:tx>
          <c:spPr>
            <a:noFill/>
            <a:ln>
              <a:solidFill>
                <a:schemeClr val="bg1">
                  <a:lumMod val="50000"/>
                </a:schemeClr>
              </a:solidFill>
              <a:prstDash val="dash"/>
            </a:ln>
          </c:spPr>
          <c:invertIfNegative val="0"/>
          <c:dLbls>
            <c:dLbl>
              <c:idx val="0"/>
              <c:layout>
                <c:manualLayout>
                  <c:x val="4.5741028774580604E-2"/>
                  <c:y val="-1.2586452556501282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3B0-4507-A4F1-F49B7E84A33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556475206458541E-2"/>
                  <c:y val="-2.5172905113002564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3B0-4507-A4F1-F49B7E84A33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0892678591267636E-2"/>
                  <c:y val="2.746166826823692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3B0-4507-A4F1-F49B7E84A33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4797429915194609E-2"/>
                  <c:y val="5.492549887255796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33B0-4507-A4F1-F49B7E84A33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421842017553433E-2"/>
                  <c:y val="2.74638306043210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3B0-4507-A4F1-F49B7E84A33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2114394696885528E-2"/>
                  <c:y val="-2.745950593215180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33B0-4507-A4F1-F49B7E84A33E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0564381735362735E-2"/>
                  <c:y val="-5.492333653647284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3B0-4507-A4F1-F49B7E84A33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chemeClr val="tx1">
                        <a:lumMod val="75000"/>
                      </a:schemeClr>
                    </a:solidFill>
                    <a:latin typeface="Century Gothic" panose="020B0502020202020204" pitchFamily="34" charset="0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Odnowienie parku MiU</c:v>
                </c:pt>
                <c:pt idx="1">
                  <c:v>Stopień automatyzacji</c:v>
                </c:pt>
                <c:pt idx="2">
                  <c:v>Udział finansowania zewnętrznego</c:v>
                </c:pt>
                <c:pt idx="3">
                  <c:v>Częstotliwość odnowienia MiU</c:v>
                </c:pt>
              </c:strCache>
            </c:strRef>
          </c:cat>
          <c:val>
            <c:numRef>
              <c:f>Arkusz1!$E$2:$E$5</c:f>
              <c:numCache>
                <c:formatCode>0.0%</c:formatCode>
                <c:ptCount val="4"/>
                <c:pt idx="0">
                  <c:v>2.5000000000000001E-2</c:v>
                </c:pt>
                <c:pt idx="1">
                  <c:v>4.2000000000000003E-2</c:v>
                </c:pt>
                <c:pt idx="2">
                  <c:v>0.159</c:v>
                </c:pt>
                <c:pt idx="3">
                  <c:v>8.5000000000000006E-2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3B0-4507-A4F1-F49B7E84A3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overlap val="100"/>
        <c:axId val="465601440"/>
        <c:axId val="465600264"/>
      </c:barChart>
      <c:catAx>
        <c:axId val="46560144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</a:schemeClr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pl-PL"/>
          </a:p>
        </c:txPr>
        <c:crossAx val="465600264"/>
        <c:crosses val="autoZero"/>
        <c:auto val="1"/>
        <c:lblAlgn val="ctr"/>
        <c:lblOffset val="100"/>
        <c:noMultiLvlLbl val="0"/>
      </c:catAx>
      <c:valAx>
        <c:axId val="465600264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465601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75000"/>
                </a:schemeClr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r>
              <a:rPr lang="pl-PL" sz="1200" b="1">
                <a:solidFill>
                  <a:sysClr val="windowText" lastClr="000000"/>
                </a:solidFill>
                <a:latin typeface="Century Gothic" panose="020B0502020202020204" pitchFamily="34" charset="0"/>
              </a:rPr>
              <a:t>Wykorzystywane</a:t>
            </a:r>
            <a:r>
              <a:rPr lang="pl-PL" sz="1200" b="1" baseline="0">
                <a:solidFill>
                  <a:sysClr val="windowText" lastClr="000000"/>
                </a:solidFill>
                <a:latin typeface="Century Gothic" panose="020B0502020202020204" pitchFamily="34" charset="0"/>
              </a:rPr>
              <a:t> ź</a:t>
            </a:r>
            <a:r>
              <a:rPr lang="pl-PL" sz="1200" b="1">
                <a:solidFill>
                  <a:sysClr val="windowText" lastClr="000000"/>
                </a:solidFill>
                <a:latin typeface="Century Gothic" panose="020B0502020202020204" pitchFamily="34" charset="0"/>
              </a:rPr>
              <a:t>ródła finansowania parku maszyn i urządzeń*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Korzysta</c:v>
                </c:pt>
              </c:strCache>
            </c:strRef>
          </c:tx>
          <c:spPr>
            <a:solidFill>
              <a:srgbClr val="0EA615"/>
            </a:solidFill>
            <a:ln>
              <a:noFill/>
            </a:ln>
            <a:effectLst>
              <a:glow rad="38100">
                <a:schemeClr val="tx1">
                  <a:alpha val="40000"/>
                </a:schemeClr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0B8311"/>
              </a:solidFill>
              <a:ln>
                <a:noFill/>
              </a:ln>
              <a:effectLst>
                <a:glow rad="38100">
                  <a:schemeClr val="tx1">
                    <a:alpha val="40000"/>
                  </a:schemeClr>
                </a:glo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15B-4BE9-AF07-4F301312353A}"/>
              </c:ext>
            </c:extLst>
          </c:dPt>
          <c:dPt>
            <c:idx val="1"/>
            <c:invertIfNegative val="0"/>
            <c:bubble3D val="0"/>
            <c:spPr>
              <a:solidFill>
                <a:srgbClr val="0B8311"/>
              </a:solidFill>
              <a:ln>
                <a:noFill/>
              </a:ln>
              <a:effectLst>
                <a:glow rad="38100">
                  <a:schemeClr val="tx1">
                    <a:alpha val="40000"/>
                  </a:schemeClr>
                </a:glo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15B-4BE9-AF07-4F301312353A}"/>
              </c:ext>
            </c:extLst>
          </c:dPt>
          <c:dPt>
            <c:idx val="2"/>
            <c:invertIfNegative val="0"/>
            <c:bubble3D val="0"/>
            <c:spPr>
              <a:solidFill>
                <a:srgbClr val="0B8311"/>
              </a:solidFill>
              <a:ln>
                <a:noFill/>
              </a:ln>
              <a:effectLst>
                <a:glow rad="38100">
                  <a:schemeClr val="tx1">
                    <a:alpha val="40000"/>
                  </a:schemeClr>
                </a:glo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15B-4BE9-AF07-4F301312353A}"/>
              </c:ext>
            </c:extLst>
          </c:dPt>
          <c:dPt>
            <c:idx val="3"/>
            <c:invertIfNegative val="0"/>
            <c:bubble3D val="0"/>
            <c:spPr>
              <a:solidFill>
                <a:srgbClr val="0B8311"/>
              </a:solidFill>
              <a:ln>
                <a:noFill/>
              </a:ln>
              <a:effectLst>
                <a:glow rad="25400">
                  <a:schemeClr val="tx1">
                    <a:alpha val="40000"/>
                  </a:schemeClr>
                </a:glo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15B-4BE9-AF07-4F301312353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Środki własne</c:v>
                </c:pt>
                <c:pt idx="1">
                  <c:v>Leasing</c:v>
                </c:pt>
                <c:pt idx="2">
                  <c:v>Kredyt</c:v>
                </c:pt>
                <c:pt idx="3">
                  <c:v>Dotacje</c:v>
                </c:pt>
              </c:strCache>
            </c:strRef>
          </c:cat>
          <c:val>
            <c:numRef>
              <c:f>Arkusz1!$B$2:$B$5</c:f>
              <c:numCache>
                <c:formatCode>0.0%</c:formatCode>
                <c:ptCount val="4"/>
                <c:pt idx="0" formatCode="0%">
                  <c:v>0.73</c:v>
                </c:pt>
                <c:pt idx="1">
                  <c:v>0.47399999999999998</c:v>
                </c:pt>
                <c:pt idx="2" formatCode="0%">
                  <c:v>0.18</c:v>
                </c:pt>
                <c:pt idx="3" formatCode="0%">
                  <c:v>0.18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8D-4359-9B72-3ED4C394DA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"/>
        <c:overlap val="-10"/>
        <c:axId val="465597520"/>
        <c:axId val="465595952"/>
      </c:barChart>
      <c:catAx>
        <c:axId val="465597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pl-PL"/>
          </a:p>
        </c:txPr>
        <c:crossAx val="465595952"/>
        <c:crosses val="autoZero"/>
        <c:auto val="1"/>
        <c:lblAlgn val="ctr"/>
        <c:lblOffset val="100"/>
        <c:noMultiLvlLbl val="0"/>
      </c:catAx>
      <c:valAx>
        <c:axId val="46559595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65597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latin typeface="Century Gothic" panose="020B0502020202020204" pitchFamily="34" charset="0"/>
        </a:defRPr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r>
              <a:rPr lang="pl-PL" sz="1200" b="1">
                <a:solidFill>
                  <a:sysClr val="windowText" lastClr="000000"/>
                </a:solidFill>
              </a:rPr>
              <a:t>Jedyne</a:t>
            </a:r>
            <a:r>
              <a:rPr lang="pl-PL" sz="1200" b="1" baseline="0">
                <a:solidFill>
                  <a:sysClr val="windowText" lastClr="000000"/>
                </a:solidFill>
              </a:rPr>
              <a:t> ź</a:t>
            </a:r>
            <a:r>
              <a:rPr lang="pl-PL" sz="1200" b="1">
                <a:solidFill>
                  <a:sysClr val="windowText" lastClr="000000"/>
                </a:solidFill>
              </a:rPr>
              <a:t>ródło finansowania parku maszyn i urządzeń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2.0964360587002098E-2"/>
          <c:y val="0.29114221833381937"/>
          <c:w val="0.95387840670859536"/>
          <c:h val="0.5552576066880529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Arkusz1!$C$1</c:f>
              <c:strCache>
                <c:ptCount val="1"/>
                <c:pt idx="0">
                  <c:v>W całości finansuje park MiU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>
              <a:glow rad="25400">
                <a:schemeClr val="accent3"/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Środki własne</c:v>
                </c:pt>
                <c:pt idx="1">
                  <c:v>Leasing</c:v>
                </c:pt>
                <c:pt idx="2">
                  <c:v>Kredyt</c:v>
                </c:pt>
                <c:pt idx="3">
                  <c:v>Dotacje</c:v>
                </c:pt>
              </c:strCache>
            </c:strRef>
          </c:cat>
          <c:val>
            <c:numRef>
              <c:f>Arkusz1!$C$2:$C$5</c:f>
              <c:numCache>
                <c:formatCode>0.0%</c:formatCode>
                <c:ptCount val="4"/>
                <c:pt idx="0">
                  <c:v>0.32800000000000001</c:v>
                </c:pt>
                <c:pt idx="1">
                  <c:v>0.16400000000000001</c:v>
                </c:pt>
                <c:pt idx="2">
                  <c:v>4.2000000000000003E-2</c:v>
                </c:pt>
                <c:pt idx="3">
                  <c:v>5.0000000000000001E-3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68D-4359-9B72-3ED4C394DA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"/>
        <c:overlap val="-10"/>
        <c:axId val="465600656"/>
        <c:axId val="465598304"/>
      </c:barChart>
      <c:catAx>
        <c:axId val="46560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pl-PL"/>
          </a:p>
        </c:txPr>
        <c:crossAx val="465598304"/>
        <c:crosses val="autoZero"/>
        <c:auto val="1"/>
        <c:lblAlgn val="ctr"/>
        <c:lblOffset val="100"/>
        <c:noMultiLvlLbl val="0"/>
      </c:catAx>
      <c:valAx>
        <c:axId val="465598304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465600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latin typeface="Century Gothic" panose="020B0502020202020204" pitchFamily="34" charset="0"/>
        </a:defRPr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0"/>
          <a:lstStyle/>
          <a:p>
            <a:pPr>
              <a:defRPr sz="1200">
                <a:latin typeface="Century Gothic" panose="020B0502020202020204" pitchFamily="34" charset="0"/>
              </a:defRPr>
            </a:pPr>
            <a:r>
              <a:rPr lang="pl-PL" sz="1200" b="1" i="0" baseline="0">
                <a:effectLst/>
                <a:latin typeface="Century Gothic" panose="020B0502020202020204" pitchFamily="34" charset="0"/>
              </a:rPr>
              <a:t>Jak kształtują się następujące obszary </a:t>
            </a:r>
            <a:br>
              <a:rPr lang="pl-PL" sz="1200" b="1" i="0" baseline="0">
                <a:effectLst/>
                <a:latin typeface="Century Gothic" panose="020B0502020202020204" pitchFamily="34" charset="0"/>
              </a:rPr>
            </a:br>
            <a:r>
              <a:rPr lang="pl-PL" sz="1200" b="1" i="0" u="none" strike="noStrike" baseline="0">
                <a:effectLst/>
                <a:latin typeface="Century Gothic" panose="020B0502020202020204" pitchFamily="34" charset="0"/>
              </a:rPr>
              <a:t>w relacji do minionego roku w Pana/Pani firmie? </a:t>
            </a:r>
            <a:endParaRPr lang="pl-PL" sz="1200">
              <a:effectLst/>
              <a:latin typeface="Century Gothic" panose="020B0502020202020204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6003947368421055"/>
          <c:y val="0.34255363534103689"/>
          <c:w val="0.45937266229678186"/>
          <c:h val="0.49458145004601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Wzrost</c:v>
                </c:pt>
              </c:strCache>
            </c:strRef>
          </c:tx>
          <c:spPr>
            <a:solidFill>
              <a:srgbClr val="008200"/>
            </a:solidFill>
            <a:ln>
              <a:solidFill>
                <a:schemeClr val="bg1"/>
              </a:solidFill>
            </a:ln>
            <a:effectLst>
              <a:outerShdw blurRad="63500" sx="102000" sy="102000" algn="c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Sprzedaż krajowa</c:v>
                </c:pt>
                <c:pt idx="1">
                  <c:v>Eksport</c:v>
                </c:pt>
                <c:pt idx="2">
                  <c:v>Dywersyfikacja rynków zbytu</c:v>
                </c:pt>
              </c:strCache>
            </c:strRef>
          </c:cat>
          <c:val>
            <c:numRef>
              <c:f>Arkusz1!$B$2:$B$4</c:f>
              <c:numCache>
                <c:formatCode>0.0%</c:formatCode>
                <c:ptCount val="3"/>
                <c:pt idx="0">
                  <c:v>0.22</c:v>
                </c:pt>
                <c:pt idx="1">
                  <c:v>0.23899999999999999</c:v>
                </c:pt>
                <c:pt idx="2">
                  <c:v>0.252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34-4CFD-8995-50ED59791E5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Bez zmian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bg1"/>
              </a:solidFill>
            </a:ln>
            <a:effectLst>
              <a:outerShdw blurRad="63500" sx="102000" sy="102000" algn="c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Sprzedaż krajowa</c:v>
                </c:pt>
                <c:pt idx="1">
                  <c:v>Eksport</c:v>
                </c:pt>
                <c:pt idx="2">
                  <c:v>Dywersyfikacja rynków zbytu</c:v>
                </c:pt>
              </c:strCache>
            </c:strRef>
          </c:cat>
          <c:val>
            <c:numRef>
              <c:f>Arkusz1!$C$2:$C$4</c:f>
              <c:numCache>
                <c:formatCode>0.0%</c:formatCode>
                <c:ptCount val="3"/>
                <c:pt idx="0">
                  <c:v>0.52800000000000002</c:v>
                </c:pt>
                <c:pt idx="1">
                  <c:v>0.51700000000000002</c:v>
                </c:pt>
                <c:pt idx="2">
                  <c:v>0.52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34-4CFD-8995-50ED59791E5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Spadek</c:v>
                </c:pt>
              </c:strCache>
            </c:strRef>
          </c:tx>
          <c:spPr>
            <a:solidFill>
              <a:srgbClr val="C80000"/>
            </a:solidFill>
            <a:ln>
              <a:solidFill>
                <a:schemeClr val="bg1"/>
              </a:solidFill>
            </a:ln>
            <a:effectLst>
              <a:outerShdw blurRad="63500" sx="102000" sy="102000" algn="c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solidFill>
                <a:srgbClr val="C80000"/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  <a:latin typeface="Century Gothic" panose="020B0502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Sprzedaż krajowa</c:v>
                </c:pt>
                <c:pt idx="1">
                  <c:v>Eksport</c:v>
                </c:pt>
                <c:pt idx="2">
                  <c:v>Dywersyfikacja rynków zbytu</c:v>
                </c:pt>
              </c:strCache>
            </c:strRef>
          </c:cat>
          <c:val>
            <c:numRef>
              <c:f>Arkusz1!$D$2:$D$4</c:f>
              <c:numCache>
                <c:formatCode>0.0%</c:formatCode>
                <c:ptCount val="3"/>
                <c:pt idx="0">
                  <c:v>0.188</c:v>
                </c:pt>
                <c:pt idx="1">
                  <c:v>0.13700000000000001</c:v>
                </c:pt>
                <c:pt idx="2">
                  <c:v>0.09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A34-4CFD-8995-50ED59791E5B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Nie wiem</c:v>
                </c:pt>
              </c:strCache>
            </c:strRef>
          </c:tx>
          <c:spPr>
            <a:noFill/>
            <a:ln>
              <a:solidFill>
                <a:schemeClr val="bg1">
                  <a:lumMod val="50000"/>
                </a:schemeClr>
              </a:solidFill>
              <a:prstDash val="dash"/>
            </a:ln>
          </c:spPr>
          <c:invertIfNegative val="0"/>
          <c:dLbls>
            <c:dLbl>
              <c:idx val="0"/>
              <c:layout>
                <c:manualLayout>
                  <c:x val="4.5741028774580604E-2"/>
                  <c:y val="-1.2586452556501282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A34-4CFD-8995-50ED59791E5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556475206458541E-2"/>
                  <c:y val="-2.5172905113002564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A34-4CFD-8995-50ED59791E5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0892678591267636E-2"/>
                  <c:y val="2.746166826823692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A34-4CFD-8995-50ED59791E5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4797429915194609E-2"/>
                  <c:y val="5.492549887255796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A34-4CFD-8995-50ED59791E5B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421842017553433E-2"/>
                  <c:y val="2.74638306043210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A34-4CFD-8995-50ED59791E5B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2114394696885528E-2"/>
                  <c:y val="-2.745950593215180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5A34-4CFD-8995-50ED59791E5B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0564381735362735E-2"/>
                  <c:y val="-5.492333653647284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A34-4CFD-8995-50ED59791E5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chemeClr val="tx1">
                        <a:lumMod val="75000"/>
                      </a:schemeClr>
                    </a:solidFill>
                    <a:latin typeface="Century Gothic" panose="020B0502020202020204" pitchFamily="34" charset="0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Sprzedaż krajowa</c:v>
                </c:pt>
                <c:pt idx="1">
                  <c:v>Eksport</c:v>
                </c:pt>
                <c:pt idx="2">
                  <c:v>Dywersyfikacja rynków zbytu</c:v>
                </c:pt>
              </c:strCache>
            </c:strRef>
          </c:cat>
          <c:val>
            <c:numRef>
              <c:f>Arkusz1!$E$2:$E$4</c:f>
              <c:numCache>
                <c:formatCode>0.0%</c:formatCode>
                <c:ptCount val="3"/>
                <c:pt idx="0">
                  <c:v>6.4000000000000001E-2</c:v>
                </c:pt>
                <c:pt idx="1">
                  <c:v>0.107</c:v>
                </c:pt>
                <c:pt idx="2">
                  <c:v>0.13800000000000001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A34-4CFD-8995-50ED59791E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overlap val="100"/>
        <c:axId val="363036360"/>
        <c:axId val="292788504"/>
      </c:barChart>
      <c:catAx>
        <c:axId val="36303636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</a:schemeClr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pl-PL"/>
          </a:p>
        </c:txPr>
        <c:crossAx val="292788504"/>
        <c:crosses val="autoZero"/>
        <c:auto val="1"/>
        <c:lblAlgn val="ctr"/>
        <c:lblOffset val="100"/>
        <c:noMultiLvlLbl val="0"/>
      </c:catAx>
      <c:valAx>
        <c:axId val="292788504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363036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75000"/>
                </a:schemeClr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14D5E-5079-42B0-9E2C-00A4351C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pismo-zewn-Sans-pl</Template>
  <TotalTime>1</TotalTime>
  <Pages>4</Pages>
  <Words>1665</Words>
  <Characters>9992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extern: Geschäftsbrief</vt:lpstr>
      <vt:lpstr>extern: Geschäftsbrief</vt:lpstr>
    </vt:vector>
  </TitlesOfParts>
  <Manager>Sabine Weiß</Manager>
  <Company>Siemens AG</Company>
  <LinksUpToDate>false</LinksUpToDate>
  <CharactersWithSpaces>11634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extern: Geschäftsbrief</dc:title>
  <dc:subject>SCF Basis - Muster Download Brandville</dc:subject>
  <dc:creator>Radosław Pupiec CCG</dc:creator>
  <cp:keywords>Externer Geschäftsbrief Brief;C_Unrestricted</cp:keywords>
  <dc:description/>
  <cp:lastModifiedBy>Konto Microsoft</cp:lastModifiedBy>
  <cp:revision>3</cp:revision>
  <cp:lastPrinted>2020-03-22T13:25:00Z</cp:lastPrinted>
  <dcterms:created xsi:type="dcterms:W3CDTF">2020-06-18T12:16:00Z</dcterms:created>
  <dcterms:modified xsi:type="dcterms:W3CDTF">2020-06-18T12:17:00Z</dcterms:modified>
  <cp:category>2008-09-23/sw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  <property fmtid="{D5CDD505-2E9C-101B-9397-08002B2CF9AE}" pid="4" name="_NewReviewCycle">
    <vt:lpwstr/>
  </property>
  <property fmtid="{D5CDD505-2E9C-101B-9397-08002B2CF9AE}" pid="5" name="Document Confidentiality">
    <vt:lpwstr>Unrestricted</vt:lpwstr>
  </property>
</Properties>
</file>